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EcoNiche-Opt: a locked immune-ecology transcriptomic score for multicohort prediction of immune checkpoint blockade response</w:t>
      </w:r>
    </w:p>
    <w:p>
      <w:pPr>
        <w:spacing w:line="480" w:lineRule="auto" w:after="0"/>
      </w:pPr>
      <w:r>
        <w:rPr>
          <w:rFonts w:ascii="Times New Roman" w:hAnsi="Times New Roman" w:eastAsia="Times New Roman"/>
          <w:b w:val="0"/>
        </w:rPr>
        <w:t>Pengyuan Xu1,3, Guang Yang2,3, Moyan Li3*</w:t>
      </w:r>
    </w:p>
    <w:p>
      <w:pPr>
        <w:spacing w:line="480" w:lineRule="auto" w:after="0"/>
      </w:pPr>
      <w:r>
        <w:rPr>
          <w:rFonts w:ascii="Times New Roman" w:hAnsi="Times New Roman" w:eastAsia="Times New Roman"/>
          <w:b w:val="0"/>
        </w:rPr>
        <w:t>1 Department of Materials Science and Engineering, Monash University, Clayton, VIC 3800, Australia.</w:t>
      </w:r>
    </w:p>
    <w:p>
      <w:pPr>
        <w:spacing w:line="480" w:lineRule="auto" w:after="0"/>
      </w:pPr>
      <w:r>
        <w:rPr>
          <w:rFonts w:ascii="Times New Roman" w:hAnsi="Times New Roman" w:eastAsia="Times New Roman"/>
          <w:b w:val="0"/>
        </w:rPr>
        <w:t>2 School of Economics and Management, China University of Mining and Technology, Xuzhou 221116, Jiangsu, China.</w:t>
      </w:r>
    </w:p>
    <w:p>
      <w:pPr>
        <w:spacing w:line="480" w:lineRule="auto" w:after="0"/>
      </w:pPr>
      <w:r>
        <w:rPr>
          <w:rFonts w:ascii="Times New Roman" w:hAnsi="Times New Roman" w:eastAsia="Times New Roman"/>
          <w:b w:val="0"/>
        </w:rPr>
        <w:t>3 Hong Kong University of Science and Technology (Guangzhou), Guangzhou 510000, China.</w:t>
      </w:r>
    </w:p>
    <w:p>
      <w:pPr>
        <w:spacing w:line="480" w:lineRule="auto" w:after="0"/>
      </w:pPr>
      <w:r>
        <w:rPr>
          <w:rFonts w:ascii="Times New Roman" w:hAnsi="Times New Roman" w:eastAsia="Times New Roman"/>
          <w:b w:val="0"/>
        </w:rPr>
        <w:t>* Correspondence: moyanli@hkust-gz.edu.cn</w:t>
      </w:r>
    </w:p>
    <w:p>
      <w:pPr>
        <w:pStyle w:val="Heading1"/>
        <w:spacing w:line="240" w:lineRule="auto" w:before="240" w:after="120"/>
      </w:pPr>
      <w:r>
        <w:rPr>
          <w:rFonts w:ascii="Times New Roman" w:hAnsi="Times New Roman" w:eastAsia="Times New Roman"/>
          <w:b/>
        </w:rPr>
        <w:t>Abstract</w:t>
      </w:r>
    </w:p>
    <w:p>
      <w:pPr>
        <w:spacing w:line="480" w:lineRule="auto" w:after="0"/>
      </w:pPr>
      <w:r>
        <w:rPr>
          <w:rFonts w:ascii="Times New Roman" w:hAnsi="Times New Roman" w:eastAsia="Times New Roman"/>
          <w:b/>
        </w:rPr>
        <w:t>Background</w:t>
      </w:r>
      <w:r>
        <w:rPr>
          <w:rFonts w:ascii="Times New Roman" w:hAnsi="Times New Roman" w:eastAsia="Times New Roman"/>
          <w:b w:val="0"/>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480" w:lineRule="auto" w:after="0"/>
      </w:pPr>
      <w:r>
        <w:rPr>
          <w:rFonts w:ascii="Times New Roman" w:hAnsi="Times New Roman" w:eastAsia="Times New Roman"/>
          <w:b/>
        </w:rPr>
        <w:t>Methods</w:t>
      </w:r>
      <w:r>
        <w:rPr>
          <w:rFonts w:ascii="Times New Roman" w:hAnsi="Times New Roman" w:eastAsia="Times New Roman"/>
          <w:b w:val="0"/>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480" w:lineRule="auto" w:after="0"/>
      </w:pPr>
      <w:r>
        <w:rPr>
          <w:rFonts w:ascii="Times New Roman" w:hAnsi="Times New Roman" w:eastAsia="Times New Roman"/>
          <w:b/>
        </w:rPr>
        <w:t>Results</w:t>
      </w:r>
      <w:r>
        <w:rPr>
          <w:rFonts w:ascii="Times New Roman" w:hAnsi="Times New Roman" w:eastAsia="Times New Roman"/>
          <w:b w:val="0"/>
        </w:rPr>
        <w:t xml:space="preserve"> Here we show that EcoNiche-Opt reached area under the receiver operating characteristic curve (AUROC) 0.705 in the high-evidence primary melanoma stratum and AUROC 0.685 in the Response Evaluation Criteria in Solid Tumours (RECIST)-supported stratum, with family-level false-discovery-rate support over a predeclared eight-signature comparator family (two-sided q=0.002). Locked external and panel-transfer analyses showed refitting-free portability, including strict RECIST AUROC 0.610 versus a signature-family mean of 0.570 (two-sided q=0.039) and clinical-benefit AUROC 0.604 versus 0.566 (two-sided q=0.039). Single-cell localization and ecological-edge analyses linked the score to antigen presentation, T/NK effector activity, T-cell dysfunction, myeloid suppression, and stromal exclusion.</w:t>
      </w:r>
    </w:p>
    <w:p>
      <w:pPr>
        <w:spacing w:line="480" w:lineRule="auto" w:after="0"/>
      </w:pPr>
      <w:r>
        <w:rPr>
          <w:rFonts w:ascii="Times New Roman" w:hAnsi="Times New Roman" w:eastAsia="Times New Roman"/>
          <w:b/>
        </w:rPr>
        <w:t>Conclusions</w:t>
      </w:r>
      <w:r>
        <w:rPr>
          <w:rFonts w:ascii="Times New Roman" w:hAnsi="Times New Roman" w:eastAsia="Times New Roman"/>
          <w:b w:val="0"/>
        </w:rPr>
        <w:t xml:space="preserve"> EcoNiche-Opt provides an auditable, locked, and independently computable 62-gene immune-ecology scoring framework for multicohort biomarker development, validation, and panel-compatible external scoring.</w:t>
      </w:r>
    </w:p>
    <w:p>
      <w:pPr>
        <w:pStyle w:val="Heading1"/>
        <w:spacing w:line="240" w:lineRule="auto" w:before="240" w:after="120"/>
      </w:pPr>
      <w:r>
        <w:rPr>
          <w:rFonts w:ascii="Times New Roman" w:hAnsi="Times New Roman" w:eastAsia="Times New Roman"/>
          <w:b/>
        </w:rPr>
        <w:t>Keywords</w:t>
      </w:r>
    </w:p>
    <w:p>
      <w:pPr>
        <w:spacing w:line="480" w:lineRule="auto" w:after="0"/>
      </w:pPr>
      <w:r>
        <w:rPr>
          <w:rFonts w:ascii="Times New Roman" w:hAnsi="Times New Roman" w:eastAsia="Times New Roman"/>
          <w:b w:val="0"/>
        </w:rPr>
        <w:t>immune checkpoint blockade; transcriptomic biomarker; melanoma; tumour immune microenvironment; machine learning; external validation; immune ecology; precision oncology</w:t>
      </w:r>
    </w:p>
    <w:p>
      <w:pPr>
        <w:pStyle w:val="Heading1"/>
        <w:spacing w:line="240" w:lineRule="auto" w:before="240" w:after="120"/>
      </w:pPr>
      <w:r>
        <w:rPr>
          <w:rFonts w:ascii="Times New Roman" w:hAnsi="Times New Roman" w:eastAsia="Times New Roman"/>
          <w:b/>
        </w:rPr>
        <w:t>Background</w:t>
      </w:r>
    </w:p>
    <w:p>
      <w:pPr>
        <w:spacing w:line="480" w:lineRule="auto" w:after="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480" w:lineRule="auto" w:after="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480" w:lineRule="auto" w:after="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480" w:lineRule="auto" w:after="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line="240" w:lineRule="auto" w:before="160" w:after="80"/>
      </w:pPr>
      <w:r>
        <w:rPr>
          <w:rFonts w:ascii="Times New Roman" w:hAnsi="Times New Roman" w:eastAsia="Times New Roman"/>
          <w:b/>
        </w:rPr>
        <w:t>Methodological contributions of EcoNiche-Opt</w:t>
      </w:r>
    </w:p>
    <w:p>
      <w:pPr>
        <w:pStyle w:val="ListBullet"/>
        <w:spacing w:line="480" w:lineRule="auto"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line="480" w:lineRule="auto" w:after="60"/>
      </w:pPr>
      <w:r>
        <w:rPr>
          <w:rFonts w:ascii="Times New Roman" w:hAnsi="Times New Roman" w:eastAsia="Times New Roman"/>
          <w:b w:val="0"/>
        </w:rPr>
        <w:t>Immune-ecology representation: signed-rank module scores for response-high and resistance-high tumour-immune states.</w:t>
      </w:r>
    </w:p>
    <w:p>
      <w:pPr>
        <w:pStyle w:val="ListBullet"/>
        <w:spacing w:line="480" w:lineRule="auto"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line="480" w:lineRule="auto"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line="480" w:lineRule="auto"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line="480" w:lineRule="auto"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line="240" w:lineRule="auto" w:before="240" w:after="120"/>
      </w:pPr>
      <w:r>
        <w:rPr>
          <w:rFonts w:ascii="Times New Roman" w:hAnsi="Times New Roman" w:eastAsia="Times New Roman"/>
          <w:b/>
        </w:rPr>
        <w:t>Methods</w:t>
      </w:r>
    </w:p>
    <w:p>
      <w:pPr>
        <w:pStyle w:val="Heading2"/>
        <w:spacing w:line="240" w:lineRule="auto" w:before="160" w:after="80"/>
      </w:pPr>
      <w:r>
        <w:rPr>
          <w:rFonts w:ascii="Times New Roman" w:hAnsi="Times New Roman" w:eastAsia="Times New Roman"/>
          <w:b/>
        </w:rPr>
        <w:t>Data registration and access-status audit</w:t>
      </w:r>
    </w:p>
    <w:p>
      <w:pPr>
        <w:spacing w:line="480" w:lineRule="auto" w:after="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line="240" w:lineRule="auto" w:before="160" w:after="80"/>
      </w:pPr>
      <w:r>
        <w:rPr>
          <w:rFonts w:ascii="Times New Roman" w:hAnsi="Times New Roman" w:eastAsia="Times New Roman"/>
          <w:b/>
        </w:rPr>
        <w:t>Expression-matrix processing and gene coverage</w:t>
      </w:r>
    </w:p>
    <w:p>
      <w:pPr>
        <w:spacing w:line="480" w:lineRule="auto" w:after="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line="240" w:lineRule="auto" w:before="160" w:after="80"/>
      </w:pPr>
      <w:r>
        <w:rPr>
          <w:rFonts w:ascii="Times New Roman" w:hAnsi="Times New Roman" w:eastAsia="Times New Roman"/>
          <w:b/>
        </w:rPr>
        <w:t>Response-label curation and endpoint harmonization</w:t>
      </w:r>
    </w:p>
    <w:p>
      <w:pPr>
        <w:spacing w:line="480" w:lineRule="auto" w:after="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line="240" w:lineRule="auto" w:before="160" w:after="80"/>
      </w:pPr>
      <w:r>
        <w:rPr>
          <w:rFonts w:ascii="Times New Roman" w:hAnsi="Times New Roman" w:eastAsia="Times New Roman"/>
          <w:b/>
        </w:rPr>
        <w:t>EcoNiche-Opt module scores</w:t>
      </w:r>
    </w:p>
    <w:p>
      <w:pPr>
        <w:spacing w:line="480" w:lineRule="auto" w:after="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spacing w:line="240" w:lineRule="auto" w:before="60" w:after="120"/>
        <w:jc w:val="center"/>
      </w:pPr>
      <w:r>
        <w:drawing>
          <wp:inline xmlns:a="http://schemas.openxmlformats.org/drawingml/2006/main" xmlns:pic="http://schemas.openxmlformats.org/drawingml/2006/picture">
            <wp:extent cx="4937760" cy="455015"/>
            <wp:docPr id="1" name="Picture 1"/>
            <wp:cNvGraphicFramePr>
              <a:graphicFrameLocks noChangeAspect="1"/>
            </wp:cNvGraphicFramePr>
            <a:graphic>
              <a:graphicData uri="http://schemas.openxmlformats.org/drawingml/2006/picture">
                <pic:pic>
                  <pic:nvPicPr>
                    <pic:cNvPr id="0" name="equation_01.png"/>
                    <pic:cNvPicPr/>
                  </pic:nvPicPr>
                  <pic:blipFill>
                    <a:blip r:embed="rId1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spacing w:line="240" w:lineRule="auto" w:before="60" w:after="120"/>
        <w:jc w:val="center"/>
      </w:pPr>
      <w:r>
        <w:drawing>
          <wp:inline xmlns:a="http://schemas.openxmlformats.org/drawingml/2006/main" xmlns:pic="http://schemas.openxmlformats.org/drawingml/2006/picture">
            <wp:extent cx="4937760" cy="455015"/>
            <wp:docPr id="2" name="Picture 2"/>
            <wp:cNvGraphicFramePr>
              <a:graphicFrameLocks noChangeAspect="1"/>
            </wp:cNvGraphicFramePr>
            <a:graphic>
              <a:graphicData uri="http://schemas.openxmlformats.org/drawingml/2006/picture">
                <pic:pic>
                  <pic:nvPicPr>
                    <pic:cNvPr id="0" name="equation_02.png"/>
                    <pic:cNvPicPr/>
                  </pic:nvPicPr>
                  <pic:blipFill>
                    <a:blip r:embed="rId1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If the correlation is not estimable, direction defaults to +1. For ecological state q with gene set G_q, the signed state score of sample i is:</w:t>
      </w:r>
    </w:p>
    <w:p>
      <w:pPr>
        <w:spacing w:line="240" w:lineRule="auto" w:before="60" w:after="120"/>
        <w:jc w:val="center"/>
      </w:pPr>
      <w:r>
        <w:drawing>
          <wp:inline xmlns:a="http://schemas.openxmlformats.org/drawingml/2006/main" xmlns:pic="http://schemas.openxmlformats.org/drawingml/2006/picture">
            <wp:extent cx="4937760" cy="455015"/>
            <wp:docPr id="3" name="Picture 3"/>
            <wp:cNvGraphicFramePr>
              <a:graphicFrameLocks noChangeAspect="1"/>
            </wp:cNvGraphicFramePr>
            <a:graphic>
              <a:graphicData uri="http://schemas.openxmlformats.org/drawingml/2006/picture">
                <pic:pic>
                  <pic:nvPicPr>
                    <pic:cNvPr id="0" name="equation_03.png"/>
                    <pic:cNvPicPr/>
                  </pic:nvPicPr>
                  <pic:blipFill>
                    <a:blip r:embed="rId12"/>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480" w:lineRule="auto" w:after="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spacing w:line="240" w:lineRule="auto" w:before="60" w:after="120"/>
        <w:jc w:val="center"/>
      </w:pPr>
      <w:r>
        <w:drawing>
          <wp:inline xmlns:a="http://schemas.openxmlformats.org/drawingml/2006/main" xmlns:pic="http://schemas.openxmlformats.org/drawingml/2006/picture">
            <wp:extent cx="4937760" cy="455015"/>
            <wp:docPr id="4" name="Picture 4"/>
            <wp:cNvGraphicFramePr>
              <a:graphicFrameLocks noChangeAspect="1"/>
            </wp:cNvGraphicFramePr>
            <a:graphic>
              <a:graphicData uri="http://schemas.openxmlformats.org/drawingml/2006/picture">
                <pic:pic>
                  <pic:nvPicPr>
                    <pic:cNvPr id="0" name="equation_04.png"/>
                    <pic:cNvPicPr/>
                  </pic:nvPicPr>
                  <pic:blipFill>
                    <a:blip r:embed="rId13"/>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spacing w:line="240" w:lineRule="auto" w:before="60" w:after="120"/>
        <w:jc w:val="center"/>
      </w:pPr>
      <w:r>
        <w:drawing>
          <wp:inline xmlns:a="http://schemas.openxmlformats.org/drawingml/2006/main" xmlns:pic="http://schemas.openxmlformats.org/drawingml/2006/picture">
            <wp:extent cx="4937760" cy="455015"/>
            <wp:docPr id="5" name="Picture 5"/>
            <wp:cNvGraphicFramePr>
              <a:graphicFrameLocks noChangeAspect="1"/>
            </wp:cNvGraphicFramePr>
            <a:graphic>
              <a:graphicData uri="http://schemas.openxmlformats.org/drawingml/2006/picture">
                <pic:pic>
                  <pic:nvPicPr>
                    <pic:cNvPr id="0" name="equation_05.png"/>
                    <pic:cNvPicPr/>
                  </pic:nvPicPr>
                  <pic:blipFill>
                    <a:blip r:embed="rId14"/>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line="240" w:lineRule="auto" w:before="160" w:after="80"/>
      </w:pPr>
      <w:r>
        <w:rPr>
          <w:rFonts w:ascii="Times New Roman" w:hAnsi="Times New Roman" w:eastAsia="Times New Roman"/>
          <w:b/>
        </w:rPr>
        <w:t>Heuristic ecological optimizer</w:t>
      </w:r>
    </w:p>
    <w:p>
      <w:pPr>
        <w:spacing w:line="480" w:lineRule="auto" w:after="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480" w:lineRule="auto" w:after="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spacing w:line="240" w:lineRule="auto" w:before="60" w:after="120"/>
        <w:jc w:val="center"/>
      </w:pPr>
      <w:r>
        <w:drawing>
          <wp:inline xmlns:a="http://schemas.openxmlformats.org/drawingml/2006/main" xmlns:pic="http://schemas.openxmlformats.org/drawingml/2006/picture">
            <wp:extent cx="4937760" cy="926883"/>
            <wp:docPr id="6" name="Picture 6"/>
            <wp:cNvGraphicFramePr>
              <a:graphicFrameLocks noChangeAspect="1"/>
            </wp:cNvGraphicFramePr>
            <a:graphic>
              <a:graphicData uri="http://schemas.openxmlformats.org/drawingml/2006/picture">
                <pic:pic>
                  <pic:nvPicPr>
                    <pic:cNvPr id="0" name="equation_06.png"/>
                    <pic:cNvPicPr/>
                  </pic:nvPicPr>
                  <pic:blipFill>
                    <a:blip r:embed="rId15"/>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where rho=0.45 and BA denotes balanced accuracy. The biological reward term is:</w:t>
      </w:r>
    </w:p>
    <w:p>
      <w:pPr>
        <w:spacing w:line="240" w:lineRule="auto" w:before="60" w:after="120"/>
        <w:jc w:val="center"/>
      </w:pPr>
      <w:r>
        <w:drawing>
          <wp:inline xmlns:a="http://schemas.openxmlformats.org/drawingml/2006/main" xmlns:pic="http://schemas.openxmlformats.org/drawingml/2006/picture">
            <wp:extent cx="4937760" cy="926883"/>
            <wp:docPr id="7" name="Picture 7"/>
            <wp:cNvGraphicFramePr>
              <a:graphicFrameLocks noChangeAspect="1"/>
            </wp:cNvGraphicFramePr>
            <a:graphic>
              <a:graphicData uri="http://schemas.openxmlformats.org/drawingml/2006/picture">
                <pic:pic>
                  <pic:nvPicPr>
                    <pic:cNvPr id="0" name="equation_07.png"/>
                    <pic:cNvPicPr/>
                  </pic:nvPicPr>
                  <pic:blipFill>
                    <a:blip r:embed="rId16"/>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spacing w:line="240" w:lineRule="auto" w:before="60" w:after="120"/>
        <w:jc w:val="center"/>
      </w:pPr>
      <w:r>
        <w:drawing>
          <wp:inline xmlns:a="http://schemas.openxmlformats.org/drawingml/2006/main" xmlns:pic="http://schemas.openxmlformats.org/drawingml/2006/picture">
            <wp:extent cx="4937760" cy="690949"/>
            <wp:docPr id="8" name="Picture 8"/>
            <wp:cNvGraphicFramePr>
              <a:graphicFrameLocks noChangeAspect="1"/>
            </wp:cNvGraphicFramePr>
            <a:graphic>
              <a:graphicData uri="http://schemas.openxmlformats.org/drawingml/2006/picture">
                <pic:pic>
                  <pic:nvPicPr>
                    <pic:cNvPr id="0" name="equation_08.png"/>
                    <pic:cNvPicPr/>
                  </pic:nvPicPr>
                  <pic:blipFill>
                    <a:blip r:embed="rId17"/>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which limits gene-set size, cohort/batch dependence, state redundancy, and therapy confounding. The selected model is:</w:t>
      </w:r>
    </w:p>
    <w:p>
      <w:pPr>
        <w:spacing w:line="240" w:lineRule="auto" w:before="60" w:after="120"/>
        <w:jc w:val="center"/>
      </w:pPr>
      <w:r>
        <w:drawing>
          <wp:inline xmlns:a="http://schemas.openxmlformats.org/drawingml/2006/main" xmlns:pic="http://schemas.openxmlformats.org/drawingml/2006/picture">
            <wp:extent cx="4937760" cy="455015"/>
            <wp:docPr id="9" name="Picture 9"/>
            <wp:cNvGraphicFramePr>
              <a:graphicFrameLocks noChangeAspect="1"/>
            </wp:cNvGraphicFramePr>
            <a:graphic>
              <a:graphicData uri="http://schemas.openxmlformats.org/drawingml/2006/picture">
                <pic:pic>
                  <pic:nvPicPr>
                    <pic:cNvPr id="0" name="equation_09.png"/>
                    <pic:cNvPicPr/>
                  </pic:nvPicPr>
                  <pic:blipFill>
                    <a:blip r:embed="rId18"/>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line="240" w:lineRule="auto" w:before="160" w:after="80"/>
      </w:pPr>
      <w:r>
        <w:rPr>
          <w:rFonts w:ascii="Times New Roman" w:hAnsi="Times New Roman" w:eastAsia="Times New Roman"/>
          <w:b/>
        </w:rPr>
        <w:t>Baseline signatures</w:t>
      </w:r>
    </w:p>
    <w:p>
      <w:pPr>
        <w:spacing w:line="480" w:lineRule="auto" w:after="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line="240" w:lineRule="auto" w:before="160" w:after="80"/>
      </w:pPr>
      <w:r>
        <w:rPr>
          <w:rFonts w:ascii="Times New Roman" w:hAnsi="Times New Roman" w:eastAsia="Times New Roman"/>
          <w:b/>
        </w:rPr>
        <w:t>LODO benchmark and statistical testing</w:t>
      </w:r>
    </w:p>
    <w:p>
      <w:pPr>
        <w:spacing w:line="480" w:lineRule="auto" w:after="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spacing w:line="240" w:lineRule="auto" w:before="60" w:after="120"/>
        <w:jc w:val="center"/>
      </w:pPr>
      <w:r>
        <w:drawing>
          <wp:inline xmlns:a="http://schemas.openxmlformats.org/drawingml/2006/main" xmlns:pic="http://schemas.openxmlformats.org/drawingml/2006/picture">
            <wp:extent cx="4937760" cy="690949"/>
            <wp:docPr id="10" name="Picture 10"/>
            <wp:cNvGraphicFramePr>
              <a:graphicFrameLocks noChangeAspect="1"/>
            </wp:cNvGraphicFramePr>
            <a:graphic>
              <a:graphicData uri="http://schemas.openxmlformats.org/drawingml/2006/picture">
                <pic:pic>
                  <pic:nvPicPr>
                    <pic:cNvPr id="0" name="equation_10.png"/>
                    <pic:cNvPicPr/>
                  </pic:nvPicPr>
                  <pic:blipFill>
                    <a:blip r:embed="rId19"/>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spacing w:line="240" w:lineRule="auto" w:before="60" w:after="120"/>
        <w:jc w:val="center"/>
      </w:pPr>
      <w:r>
        <w:drawing>
          <wp:inline xmlns:a="http://schemas.openxmlformats.org/drawingml/2006/main" xmlns:pic="http://schemas.openxmlformats.org/drawingml/2006/picture">
            <wp:extent cx="4937760" cy="455015"/>
            <wp:docPr id="11" name="Picture 11"/>
            <wp:cNvGraphicFramePr>
              <a:graphicFrameLocks noChangeAspect="1"/>
            </wp:cNvGraphicFramePr>
            <a:graphic>
              <a:graphicData uri="http://schemas.openxmlformats.org/drawingml/2006/picture">
                <pic:pic>
                  <pic:nvPicPr>
                    <pic:cNvPr id="0" name="equation_11.png"/>
                    <pic:cNvPicPr/>
                  </pic:nvPicPr>
                  <pic:blipFill>
                    <a:blip r:embed="rId2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For stratum s, the family-level effect was:</w:t>
      </w:r>
    </w:p>
    <w:p>
      <w:pPr>
        <w:spacing w:line="240" w:lineRule="auto" w:before="60" w:after="120"/>
        <w:jc w:val="center"/>
      </w:pPr>
      <w:r>
        <w:drawing>
          <wp:inline xmlns:a="http://schemas.openxmlformats.org/drawingml/2006/main" xmlns:pic="http://schemas.openxmlformats.org/drawingml/2006/picture">
            <wp:extent cx="4937760" cy="455015"/>
            <wp:docPr id="12" name="Picture 12"/>
            <wp:cNvGraphicFramePr>
              <a:graphicFrameLocks noChangeAspect="1"/>
            </wp:cNvGraphicFramePr>
            <a:graphic>
              <a:graphicData uri="http://schemas.openxmlformats.org/drawingml/2006/picture">
                <pic:pic>
                  <pic:nvPicPr>
                    <pic:cNvPr id="0" name="equation_12.png"/>
                    <pic:cNvPicPr/>
                  </pic:nvPicPr>
                  <pic:blipFill>
                    <a:blip r:embed="rId2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line="240" w:lineRule="auto" w:before="160" w:after="80"/>
      </w:pPr>
      <w:r>
        <w:rPr>
          <w:rFonts w:ascii="Times New Roman" w:hAnsi="Times New Roman" w:eastAsia="Times New Roman"/>
          <w:b/>
        </w:rPr>
        <w:t>Locked external and panel-transfer validation</w:t>
      </w:r>
    </w:p>
    <w:p>
      <w:pPr>
        <w:spacing w:line="480" w:lineRule="auto" w:after="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line="240" w:lineRule="auto" w:before="160" w:after="80"/>
      </w:pPr>
      <w:r>
        <w:rPr>
          <w:rFonts w:ascii="Times New Roman" w:hAnsi="Times New Roman" w:eastAsia="Times New Roman"/>
          <w:b/>
        </w:rPr>
        <w:t>PD1-like transfer head</w:t>
      </w:r>
    </w:p>
    <w:p>
      <w:pPr>
        <w:spacing w:line="480" w:lineRule="auto" w:after="0"/>
      </w:pPr>
      <w:r>
        <w:rPr>
          <w:rFonts w:ascii="Times New Roman" w:hAnsi="Times New Roman" w:eastAsia="Times New Roman"/>
          <w:b w:val="0"/>
        </w:rPr>
        <w:t>PD1-like external stress rescue evaluated locked panel scoring and PD1LikeTransferHead in a pooled strict RECIST setting across GSE145996 and PHS000452_LIU_LIKE_PRE. The analysis reported AUROC, AUPRC, balanced accuracy, ECE, and threshold sensitivity to characterize model behavior in PD1-like stress cohorts (Figure 5e-f; Supplementary Figure 8; Supplementary Table 17).</w:t>
      </w:r>
    </w:p>
    <w:p>
      <w:pPr>
        <w:pStyle w:val="Heading2"/>
        <w:spacing w:line="240" w:lineRule="auto" w:before="160" w:after="80"/>
      </w:pPr>
      <w:r>
        <w:rPr>
          <w:rFonts w:ascii="Times New Roman" w:hAnsi="Times New Roman" w:eastAsia="Times New Roman"/>
          <w:b/>
        </w:rPr>
        <w:t>Single-cell and mechanistic interpretation</w:t>
      </w:r>
    </w:p>
    <w:p>
      <w:pPr>
        <w:spacing w:line="480" w:lineRule="auto" w:after="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line="240" w:lineRule="auto" w:before="160" w:after="80"/>
      </w:pPr>
      <w:r>
        <w:rPr>
          <w:rFonts w:ascii="Times New Roman" w:hAnsi="Times New Roman" w:eastAsia="Times New Roman"/>
          <w:b/>
        </w:rPr>
        <w:t>Perturbation hypothesis prioritization</w:t>
      </w:r>
    </w:p>
    <w:p>
      <w:pPr>
        <w:spacing w:line="480" w:lineRule="auto" w:after="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line="240" w:lineRule="auto" w:before="160" w:after="80"/>
      </w:pPr>
      <w:r>
        <w:rPr>
          <w:rFonts w:ascii="Times New Roman" w:hAnsi="Times New Roman" w:eastAsia="Times New Roman"/>
          <w:b/>
        </w:rPr>
        <w:t>Locked external scoring analysis</w:t>
      </w:r>
    </w:p>
    <w:p>
      <w:pPr>
        <w:spacing w:line="480" w:lineRule="auto" w:after="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line="240" w:lineRule="auto" w:before="160" w:after="80"/>
      </w:pPr>
      <w:r>
        <w:rPr>
          <w:rFonts w:ascii="Times New Roman" w:hAnsi="Times New Roman" w:eastAsia="Times New Roman"/>
          <w:b/>
        </w:rPr>
        <w:t>Open algorithm and reproducibility boundary</w:t>
      </w:r>
    </w:p>
    <w:p>
      <w:pPr>
        <w:spacing w:line="480" w:lineRule="auto" w:after="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480" w:lineRule="auto" w:after="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line="240" w:lineRule="auto" w:before="240" w:after="120"/>
      </w:pPr>
      <w:r>
        <w:rPr>
          <w:rFonts w:ascii="Times New Roman" w:hAnsi="Times New Roman" w:eastAsia="Times New Roman"/>
          <w:b/>
        </w:rPr>
        <w:t>Results</w:t>
      </w:r>
    </w:p>
    <w:p>
      <w:pPr>
        <w:pStyle w:val="Heading2"/>
        <w:spacing w:line="240" w:lineRule="auto" w:before="160" w:after="80"/>
      </w:pPr>
      <w:r>
        <w:rPr>
          <w:rFonts w:ascii="Times New Roman" w:hAnsi="Times New Roman" w:eastAsia="Times New Roman"/>
          <w:b/>
        </w:rPr>
        <w:t>Auditable cohort curation defines the valid search space for ICB response modelling</w:t>
      </w:r>
    </w:p>
    <w:p>
      <w:pPr>
        <w:spacing w:line="480" w:lineRule="auto" w:after="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480" w:lineRule="auto" w:after="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480" w:lineRule="auto" w:after="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line="240" w:lineRule="auto" w:before="160" w:after="80"/>
      </w:pPr>
      <w:r>
        <w:rPr>
          <w:rFonts w:ascii="Times New Roman" w:hAnsi="Times New Roman" w:eastAsia="Times New Roman"/>
          <w:b/>
        </w:rPr>
        <w:t>EcoNiche-Opt models ICB response through coupled immune-ecological states</w:t>
      </w:r>
    </w:p>
    <w:p>
      <w:pPr>
        <w:spacing w:line="480" w:lineRule="auto" w:after="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480" w:lineRule="auto" w:after="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480" w:lineRule="auto" w:after="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480" w:lineRule="auto" w:after="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line="240" w:lineRule="auto" w:before="160" w:after="80"/>
      </w:pPr>
      <w:r>
        <w:rPr>
          <w:rFonts w:ascii="Times New Roman" w:hAnsi="Times New Roman" w:eastAsia="Times New Roman"/>
          <w:b/>
        </w:rPr>
        <w:t>Coupled immune-ecology scoring improves over predeclared immune signatures in melanoma</w:t>
      </w:r>
    </w:p>
    <w:p>
      <w:pPr>
        <w:spacing w:line="480" w:lineRule="auto" w:after="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480" w:lineRule="auto" w:after="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versus a family mean AUROC of 0.631796, with mean delta 0.073416, 95% CI 0.031503-0.112106, and two-sided FDR q=0.002. In the RECIST-supported primary melanoma stratum, EcoNiche-Opt achieved AUROC 0.684559 versus a family mean AUROC of 0.619700, with mean delta 0.064490,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480" w:lineRule="auto" w:after="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480" w:lineRule="auto" w:after="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line="240" w:lineRule="auto" w:before="160" w:after="80"/>
      </w:pPr>
      <w:r>
        <w:rPr>
          <w:rFonts w:ascii="Times New Roman" w:hAnsi="Times New Roman" w:eastAsia="Times New Roman"/>
          <w:b/>
        </w:rPr>
        <w:t>Endpoint sensitivity and claim gating strengthen biomarker evidence</w:t>
      </w:r>
    </w:p>
    <w:p>
      <w:pPr>
        <w:spacing w:line="480" w:lineRule="auto" w:after="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480" w:lineRule="auto" w:after="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480" w:lineRule="auto" w:after="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480" w:lineRule="auto" w:after="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line="240" w:lineRule="auto" w:before="160" w:after="80"/>
      </w:pPr>
      <w:r>
        <w:rPr>
          <w:rFonts w:ascii="Times New Roman" w:hAnsi="Times New Roman" w:eastAsia="Times New Roman"/>
          <w:b/>
        </w:rPr>
        <w:t>Locked external and panel-transfer analyses test portability without refitting</w:t>
      </w:r>
    </w:p>
    <w:p>
      <w:pPr>
        <w:spacing w:line="480" w:lineRule="auto" w:after="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480" w:lineRule="auto" w:after="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versus a signature-family mean of 0.569882, with mean delta 0.039789 and two-sided FDR q=0.039. In clinical benefit all locked external/panel analysis, EcoNiche-Opt AUROC was 0.604353 versus a family mean of 0.566113, with mean delta 0.038240 and two-sided FDR q=0.039. Primary RECIST all external/panel analysis showed pre-directional support, with target AUROC 0.576664, family mean 0.548750, two-sided FDR q=0.070, and one-sided FDR q=0.035. These findings provide family-level external/panel evidence, with individual-model deltas reported separately.</w:t>
      </w:r>
    </w:p>
    <w:p>
      <w:pPr>
        <w:spacing w:line="480" w:lineRule="auto" w:after="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480" w:lineRule="auto" w:after="0"/>
      </w:pPr>
      <w:r>
        <w:rPr>
          <w:rFonts w:ascii="Times New Roman" w:hAnsi="Times New Roman" w:eastAsia="Times New Roman"/>
          <w:b w:val="0"/>
        </w:rPr>
        <w:t>PD1-like external stress rescue analysis was used to characterize strict melanoma PD1-like transfer settings (Figure 5e-f; Supplementary Figure 8; Supplementary Table 17). In the pooled strict RECIST PD1-like stress setting, locked panel AUROC was 0.571131, whereas the PD1LikeTransferHead reached AUROC 0.595238 and reduced ECE from 0.261296 to 0.144996. Threshold sensitivity showed balanced accuracy 0.626786 under a fixed probability 0.5 policy. This analysis suggests a reusable development path for PD1-like melanoma transfer settings while preserving the independence of the locked primary validation model.</w:t>
      </w:r>
    </w:p>
    <w:p>
      <w:pPr>
        <w:pStyle w:val="Heading2"/>
        <w:spacing w:line="240" w:lineRule="auto" w:before="160" w:after="80"/>
      </w:pPr>
      <w:r>
        <w:rPr>
          <w:rFonts w:ascii="Times New Roman" w:hAnsi="Times New Roman" w:eastAsia="Times New Roman"/>
          <w:b/>
        </w:rPr>
        <w:t>Single-cell and edge analyses connect the score to immune response and resistance niches</w:t>
      </w:r>
    </w:p>
    <w:p>
      <w:pPr>
        <w:spacing w:line="480" w:lineRule="auto" w:after="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480" w:lineRule="auto" w:after="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480" w:lineRule="auto" w:after="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480" w:lineRule="auto" w:after="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line="240" w:lineRule="auto" w:before="160" w:after="80"/>
      </w:pPr>
      <w:r>
        <w:rPr>
          <w:rFonts w:ascii="Times New Roman" w:hAnsi="Times New Roman" w:eastAsia="Times New Roman"/>
          <w:b/>
        </w:rPr>
        <w:t>A locked 62-gene panel makes the ecological score independently computable</w:t>
      </w:r>
    </w:p>
    <w:p>
      <w:pPr>
        <w:spacing w:line="480" w:lineRule="auto" w:after="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480" w:lineRule="auto" w:after="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480" w:lineRule="auto" w:after="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480" w:lineRule="auto" w:after="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line="240" w:lineRule="auto" w:before="240" w:after="120"/>
      </w:pPr>
      <w:r>
        <w:rPr>
          <w:rFonts w:ascii="Times New Roman" w:hAnsi="Times New Roman" w:eastAsia="Times New Roman"/>
          <w:b/>
        </w:rPr>
        <w:t>Discussion</w:t>
      </w:r>
    </w:p>
    <w:p>
      <w:pPr>
        <w:spacing w:line="480" w:lineRule="auto" w:after="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480" w:lineRule="auto" w:after="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480" w:lineRule="auto" w:after="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480" w:lineRule="auto" w:after="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480" w:lineRule="auto" w:after="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line="240" w:lineRule="auto" w:before="240" w:after="120"/>
      </w:pPr>
      <w:r>
        <w:rPr>
          <w:rFonts w:ascii="Times New Roman" w:hAnsi="Times New Roman" w:eastAsia="Times New Roman"/>
          <w:b/>
        </w:rPr>
        <w:t>Conclusions</w:t>
      </w:r>
    </w:p>
    <w:p>
      <w:pPr>
        <w:spacing w:line="480" w:lineRule="auto" w:after="0"/>
      </w:pPr>
      <w:r>
        <w:rPr>
          <w:rFonts w:ascii="Times New Roman" w:hAnsi="Times New Roman" w:eastAsia="Times New Roman"/>
          <w:b w:val="0"/>
        </w:rPr>
        <w:t>EcoNiche-Opt reframes immune-checkpoint blockade transcriptomic prediction as an auditable immune-ecology biomarker framework rather than another isolated response signature. By combining traceable public-cohort curation, endpoint harmonization, signed-rank ecological module scoring, interaction-edge modelling, claim-gated multicohort benchmarking, locked external scoring, and a 62-gene panel-compatible implementation, the framework provides a reproducible route from heterogeneous ICB cohorts to independently computable biomarker scores.</w:t>
      </w:r>
    </w:p>
    <w:p>
      <w:pPr>
        <w:pStyle w:val="Heading1"/>
        <w:spacing w:line="240" w:lineRule="auto" w:before="240" w:after="120"/>
      </w:pPr>
      <w:r>
        <w:rPr>
          <w:rFonts w:ascii="Times New Roman" w:hAnsi="Times New Roman" w:eastAsia="Times New Roman"/>
          <w:b/>
        </w:rPr>
        <w:t>Abbreviations</w:t>
      </w:r>
    </w:p>
    <w:p>
      <w:pPr>
        <w:spacing w:line="480" w:lineRule="auto" w:after="0"/>
      </w:pPr>
      <w:r>
        <w:rPr>
          <w:rFonts w:ascii="Times New Roman" w:hAnsi="Times New Roman" w:eastAsia="Times New Roman"/>
          <w:b w:val="0"/>
        </w:rPr>
        <w:t>APM, antigen-presentation machinery; AUROC, area under the receiver operating characteristic curve; AUPRC, area under the precision-recall curve; DCB, durable clinical benefit; ECE, expected calibration error; ICB, immune checkpoint blockade; LODO, leave-one-dataset-out; RECIST, Response Evaluation Criteria in Solid Tumours; SAP, statistical analysis plan.</w:t>
      </w:r>
    </w:p>
    <w:p>
      <w:pPr>
        <w:pStyle w:val="Heading1"/>
        <w:spacing w:line="240" w:lineRule="auto" w:before="240" w:after="120"/>
      </w:pPr>
      <w:r>
        <w:rPr>
          <w:rFonts w:ascii="Times New Roman" w:hAnsi="Times New Roman" w:eastAsia="Times New Roman"/>
          <w:b/>
        </w:rPr>
        <w:t>Declarations</w:t>
      </w:r>
    </w:p>
    <w:p>
      <w:pPr>
        <w:pStyle w:val="Heading2"/>
        <w:spacing w:line="240" w:lineRule="auto" w:before="160" w:after="80"/>
      </w:pPr>
      <w:r>
        <w:rPr>
          <w:rFonts w:ascii="Times New Roman" w:hAnsi="Times New Roman" w:eastAsia="Times New Roman"/>
          <w:b/>
        </w:rPr>
        <w:t>Ethics approval and consent to participate</w:t>
      </w:r>
    </w:p>
    <w:p>
      <w:pPr>
        <w:spacing w:line="480" w:lineRule="auto" w:after="0"/>
      </w:pPr>
      <w:r>
        <w:rPr>
          <w:rFonts w:ascii="Times New Roman" w:hAnsi="Times New Roman" w:eastAsia="Times New Roman"/>
          <w:b w:val="0"/>
        </w:rPr>
        <w:t>This study used publicly available or controlled-access de-identified transcriptomic and clinical annotation data from previously published studies. No new human participants were recruited and no new biospecimens were collected. Ethics approvals and consent procedures for the original cohorts were reported by the source studies, and controlled-access datasets remain subject to the original repository and data-use conditions.</w:t>
      </w:r>
    </w:p>
    <w:p>
      <w:pPr>
        <w:pStyle w:val="Heading2"/>
        <w:spacing w:line="240" w:lineRule="auto" w:before="160" w:after="80"/>
      </w:pPr>
      <w:r>
        <w:rPr>
          <w:rFonts w:ascii="Times New Roman" w:hAnsi="Times New Roman" w:eastAsia="Times New Roman"/>
          <w:b/>
        </w:rPr>
        <w:t>Consent for publication</w:t>
      </w:r>
    </w:p>
    <w:p>
      <w:pPr>
        <w:spacing w:line="480" w:lineRule="auto" w:after="0"/>
      </w:pPr>
      <w:r>
        <w:rPr>
          <w:rFonts w:ascii="Times New Roman" w:hAnsi="Times New Roman" w:eastAsia="Times New Roman"/>
          <w:b w:val="0"/>
        </w:rPr>
        <w:t>Not applicable.</w:t>
      </w:r>
    </w:p>
    <w:p>
      <w:pPr>
        <w:pStyle w:val="Heading2"/>
        <w:spacing w:line="240" w:lineRule="auto" w:before="160" w:after="80"/>
      </w:pPr>
      <w:r>
        <w:rPr>
          <w:rFonts w:ascii="Times New Roman" w:hAnsi="Times New Roman" w:eastAsia="Times New Roman"/>
          <w:b/>
        </w:rPr>
        <w:t>Availability of data and materials</w:t>
      </w:r>
    </w:p>
    <w:p>
      <w:pPr>
        <w:spacing w:line="480" w:lineRule="auto" w:after="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2"/>
        <w:spacing w:line="240" w:lineRule="auto" w:before="160" w:after="80"/>
      </w:pPr>
      <w:r>
        <w:rPr>
          <w:rFonts w:ascii="Times New Roman" w:hAnsi="Times New Roman" w:eastAsia="Times New Roman"/>
          <w:b/>
        </w:rPr>
        <w:t>Availability of code</w:t>
      </w:r>
    </w:p>
    <w:p>
      <w:pPr>
        <w:spacing w:line="480" w:lineRule="auto" w:after="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v0.3.1, archived under release tag </w:t>
      </w:r>
      <w:r>
        <w:rPr>
          <w:rFonts w:ascii="Consolas" w:hAnsi="Consolas" w:eastAsia="Microsoft YaHei"/>
          <w:b w:val="0"/>
        </w:rPr>
        <w:t>v0.3.1-jtm-20260527</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https://github.com/ahvsjags/EcoNiche-Opt/archive/refs/tags/v0.3.1-jtm-20260527.zip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panel-transfer analysis, mechanism interpretation, perturbation ranking, and figure/table generation, together with Python/R interfaces and shareable derived outputs. The immutable commit hash for the release is recorded on the GitHub release page.</w:t>
      </w:r>
    </w:p>
    <w:p>
      <w:pPr>
        <w:spacing w:line="480" w:lineRule="auto" w:after="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 20.</w:t>
      </w:r>
    </w:p>
    <w:p>
      <w:pPr>
        <w:pStyle w:val="Heading2"/>
        <w:spacing w:line="240" w:lineRule="auto" w:before="160" w:after="80"/>
      </w:pPr>
      <w:r>
        <w:rPr>
          <w:rFonts w:ascii="Times New Roman" w:hAnsi="Times New Roman" w:eastAsia="Times New Roman"/>
          <w:b/>
        </w:rPr>
        <w:t>Competing interests</w:t>
      </w:r>
    </w:p>
    <w:p>
      <w:pPr>
        <w:spacing w:line="480" w:lineRule="auto" w:after="0"/>
      </w:pPr>
      <w:r>
        <w:rPr>
          <w:rFonts w:ascii="Times New Roman" w:hAnsi="Times New Roman" w:eastAsia="Times New Roman"/>
          <w:b w:val="0"/>
        </w:rPr>
        <w:t>The authors declare that they have no competing interests.</w:t>
      </w:r>
    </w:p>
    <w:p>
      <w:pPr>
        <w:pStyle w:val="Heading2"/>
        <w:spacing w:line="240" w:lineRule="auto" w:before="160" w:after="80"/>
      </w:pPr>
      <w:r>
        <w:rPr>
          <w:rFonts w:ascii="Times New Roman" w:hAnsi="Times New Roman" w:eastAsia="Times New Roman"/>
          <w:b/>
        </w:rPr>
        <w:t>Funding</w:t>
      </w:r>
    </w:p>
    <w:p>
      <w:pPr>
        <w:spacing w:line="480" w:lineRule="auto" w:after="0"/>
      </w:pPr>
      <w:r>
        <w:rPr>
          <w:rFonts w:ascii="Times New Roman" w:hAnsi="Times New Roman" w:eastAsia="Times New Roman"/>
          <w:b w:val="0"/>
        </w:rPr>
        <w:t>The authors declare that no specific funding was received for this work.</w:t>
      </w:r>
    </w:p>
    <w:p>
      <w:pPr>
        <w:pStyle w:val="Heading2"/>
        <w:spacing w:line="240" w:lineRule="auto" w:before="160" w:after="80"/>
      </w:pPr>
      <w:r>
        <w:rPr>
          <w:rFonts w:ascii="Times New Roman" w:hAnsi="Times New Roman" w:eastAsia="Times New Roman"/>
          <w:b/>
        </w:rPr>
        <w:t>Authors' contributions</w:t>
      </w:r>
    </w:p>
    <w:p>
      <w:pPr>
        <w:spacing w:line="480" w:lineRule="auto" w:after="0"/>
      </w:pPr>
      <w:r>
        <w:rPr>
          <w:rFonts w:ascii="Times New Roman" w:hAnsi="Times New Roman" w:eastAsia="Times New Roman"/>
          <w:b w:val="0"/>
        </w:rPr>
        <w:t>PX and ML conceived the study. PX implemented the computational analyses, model packaging, data curation workflow, benchmark evaluation, figures, and tables. GY contributed to statistical interpretation, translational framing, and manuscript revision. ML supervised the study, interpreted results, revised the manuscript, and serves as corresponding author. All authors read and approved the final manuscript.</w:t>
      </w:r>
    </w:p>
    <w:p>
      <w:pPr>
        <w:pStyle w:val="Heading2"/>
        <w:spacing w:line="240" w:lineRule="auto" w:before="160" w:after="80"/>
      </w:pPr>
      <w:r>
        <w:rPr>
          <w:rFonts w:ascii="Times New Roman" w:hAnsi="Times New Roman" w:eastAsia="Times New Roman"/>
          <w:b/>
        </w:rPr>
        <w:t>Acknowledgements</w:t>
      </w:r>
    </w:p>
    <w:p>
      <w:pPr>
        <w:spacing w:line="480" w:lineRule="auto" w:after="0"/>
      </w:pPr>
      <w:r>
        <w:rPr>
          <w:rFonts w:ascii="Times New Roman" w:hAnsi="Times New Roman" w:eastAsia="Times New Roman"/>
          <w:b w:val="0"/>
        </w:rPr>
        <w:t>Not applicable.</w:t>
      </w:r>
    </w:p>
    <w:p>
      <w:pPr>
        <w:pStyle w:val="Heading1"/>
        <w:spacing w:line="240" w:lineRule="auto" w:before="240" w:after="120"/>
      </w:pPr>
      <w:r>
        <w:rPr>
          <w:rFonts w:ascii="Times New Roman" w:hAnsi="Times New Roman" w:eastAsia="Times New Roman"/>
          <w:b/>
        </w:rPr>
        <w:t>References</w:t>
      </w:r>
    </w:p>
    <w:p>
      <w:pPr>
        <w:spacing w:line="480" w:lineRule="auto" w:after="0"/>
      </w:pPr>
      <w:r>
        <w:rPr>
          <w:rFonts w:ascii="Times New Roman" w:hAnsi="Times New Roman" w:eastAsia="Times New Roman"/>
          <w:b w:val="0"/>
        </w:rPr>
        <w:t>1. Pardoll DM. The blockade of immune checkpoints in cancer immunotherapy. Nat Rev Cancer. 2012;12:252-264. doi:10.1038/nrc3239.</w:t>
      </w:r>
    </w:p>
    <w:p>
      <w:pPr>
        <w:spacing w:line="480" w:lineRule="auto" w:after="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480" w:lineRule="auto" w:after="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480" w:lineRule="auto" w:after="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480" w:lineRule="auto" w:after="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480" w:lineRule="auto" w:after="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480" w:lineRule="auto" w:after="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480" w:lineRule="auto" w:after="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480" w:lineRule="auto" w:after="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480" w:lineRule="auto" w:after="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480" w:lineRule="auto" w:after="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480" w:lineRule="auto" w:after="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480" w:lineRule="auto" w:after="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480" w:lineRule="auto" w:after="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480" w:lineRule="auto" w:after="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480" w:lineRule="auto" w:after="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480" w:lineRule="auto" w:after="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480" w:lineRule="auto" w:after="0"/>
      </w:pPr>
      <w:r>
        <w:rPr>
          <w:rFonts w:ascii="Times New Roman" w:hAnsi="Times New Roman" w:eastAsia="Times New Roman"/>
          <w:b w:val="0"/>
        </w:rPr>
        <w:t>18. Thorsson V, Gibbs DL, Brown SD, et al. The immune landscape of cancer. Immunity. 2018;48:812-830.e14. doi:10.1016/j.immuni.2018.03.023.</w:t>
      </w:r>
    </w:p>
    <w:p>
      <w:pPr>
        <w:spacing w:line="480" w:lineRule="auto" w:after="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480" w:lineRule="auto" w:after="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480" w:lineRule="auto" w:after="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480" w:lineRule="auto" w:after="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480" w:lineRule="auto" w:after="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480" w:lineRule="auto" w:after="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480" w:lineRule="auto" w:after="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480" w:lineRule="auto" w:after="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480" w:lineRule="auto" w:after="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480" w:lineRule="auto" w:after="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480" w:lineRule="auto" w:after="0"/>
      </w:pPr>
      <w:r>
        <w:rPr>
          <w:rFonts w:ascii="Times New Roman" w:hAnsi="Times New Roman" w:eastAsia="Times New Roman"/>
          <w:b w:val="0"/>
        </w:rPr>
        <w:t>29. Tsherniak A, Vazquez F, Montgomery PG, et al. Defining a cancer dependency map. Cell. 2017;170:564-576.e16. doi:10.1016/j.cell.2017.06.010.</w:t>
      </w:r>
    </w:p>
    <w:p>
      <w:pPr>
        <w:pStyle w:val="Heading1"/>
        <w:spacing w:line="240" w:lineRule="auto" w:before="240" w:after="120"/>
      </w:pPr>
      <w:r>
        <w:rPr>
          <w:rFonts w:ascii="Times New Roman" w:hAnsi="Times New Roman" w:eastAsia="Times New Roman"/>
          <w:b/>
        </w:rPr>
        <w:t>Figure legends</w:t>
      </w:r>
    </w:p>
    <w:p>
      <w:pPr>
        <w:spacing w:line="480" w:lineRule="auto" w:after="0"/>
      </w:pPr>
      <w:r>
        <w:rPr>
          <w:rFonts w:ascii="Times New Roman" w:hAnsi="Times New Roman" w:eastAsia="Times New Roman"/>
          <w:b/>
        </w:rPr>
        <w:t>Figure 1 | Building an auditable multicohort ICB response benchmark.</w:t>
      </w:r>
      <w:r>
        <w:rPr>
          <w:rFonts w:ascii="Times New Roman" w:hAnsi="Times New Roman" w:eastAsia="Times New Roman"/>
          <w:b w:val="0"/>
        </w:rPr>
        <w:t xml:space="preserve"> 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pPr>
        <w:spacing w:line="480" w:lineRule="auto" w:after="0"/>
      </w:pPr>
      <w:r>
        <w:rPr>
          <w:rFonts w:ascii="Times New Roman" w:hAnsi="Times New Roman" w:eastAsia="Times New Roman"/>
          <w:b/>
        </w:rPr>
        <w:t>Figure 2 | EcoNiche-Opt converts immune states into a coupled ecological score.</w:t>
      </w:r>
      <w:r>
        <w:rPr>
          <w:rFonts w:ascii="Times New Roman" w:hAnsi="Times New Roman" w:eastAsia="Times New Roman"/>
          <w:b w:val="0"/>
        </w:rPr>
        <w:t xml:space="preserve"> 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pPr>
        <w:spacing w:line="480" w:lineRule="auto" w:after="0"/>
      </w:pPr>
      <w:r>
        <w:rPr>
          <w:rFonts w:ascii="Times New Roman" w:hAnsi="Times New Roman" w:eastAsia="Times New Roman"/>
          <w:b/>
        </w:rPr>
        <w:t>Figure 3 | Primary melanoma benchmarks support family-level improvement over immune signatures.</w:t>
      </w:r>
      <w:r>
        <w:rPr>
          <w:rFonts w:ascii="Times New Roman" w:hAnsi="Times New Roman" w:eastAsia="Times New Roman"/>
          <w:b w:val="0"/>
        </w:rPr>
        <w:t xml:space="preserve"> 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higher than CXCL9/TIG (approximately 0.665619), IFNG (approximately 0.664362), APM (approximately 0.663734), TIDE_dysfunction, CYT, IPRES, and TIDE_exclusion by point estimate (Supplementary Table 10). b, Predeclared eight-signature family omnibus test. Core high-evidence target AUROC was 0.704903 versus family mean 0.631796, mean delta 0.073416, 95% CI 0.031503-0.112106, two-sided FDR q=0.002. RECIST-supported primary target AUROC was 0.684559 versus family mean 0.619700, mean delta 0.064490,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pPr>
        <w:spacing w:line="480" w:lineRule="auto" w:after="0"/>
      </w:pPr>
      <w:r>
        <w:rPr>
          <w:rFonts w:ascii="Times New Roman" w:hAnsi="Times New Roman" w:eastAsia="Times New Roman"/>
          <w:b/>
        </w:rPr>
        <w:t>Figure 4 | Endpoint sensitivity and ablation analyses strengthen the evidence hierarchy.</w:t>
      </w:r>
      <w:r>
        <w:rPr>
          <w:rFonts w:ascii="Times New Roman" w:hAnsi="Times New Roman" w:eastAsia="Times New Roman"/>
          <w:b w:val="0"/>
        </w:rPr>
        <w:t xml:space="preserve"> 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pPr>
        <w:spacing w:line="480" w:lineRule="auto" w:after="0"/>
      </w:pPr>
      <w:r>
        <w:rPr>
          <w:rFonts w:ascii="Times New Roman" w:hAnsi="Times New Roman" w:eastAsia="Times New Roman"/>
          <w:b/>
        </w:rPr>
        <w:t>Figure 5 | Locked external and panel-transfer scoring evaluates portability without refitting.</w:t>
      </w:r>
      <w:r>
        <w:rPr>
          <w:rFonts w:ascii="Times New Roman" w:hAnsi="Times New Roman" w:eastAsia="Times New Roman"/>
          <w:b w:val="0"/>
        </w:rPr>
        <w:t xml:space="preserve"> 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versus family mean 0.569882, mean delta 0.039789, two-sided FDR q=0.039; clinical benefit target AUROC was 0.604353 versus family mean 0.566113, mean delta 0.038240, two-sided FDR q=0.039 (Supplementary Table 15). d, NanoString panel module coverage. GSE93157 and GSE140901 had mean module coverage 0.745573, with lowest coverage in stromal exclusion (Supplementary Table 16). e, PD1-like stress rescue. In pooled strict RECIST PD1-like stress cohorts, locked panel AUROC was 0.571131 and PD1LikeTransferHead AUROC was 0.595238; ECE decreased from 0.261296 to 0.144996 (Supplementary Table 17). f, Threshold sensitivity showing PD1LikeTransferHead balanced accuracy 0.626786 under a fixed probability 0.5 policy.</w:t>
      </w:r>
    </w:p>
    <w:p>
      <w:pPr>
        <w:spacing w:line="480" w:lineRule="auto" w:after="0"/>
      </w:pPr>
      <w:r>
        <w:rPr>
          <w:rFonts w:ascii="Times New Roman" w:hAnsi="Times New Roman" w:eastAsia="Times New Roman"/>
          <w:b/>
        </w:rPr>
        <w:t>Figure 6 | Single-cell and ecological-edge analyses map the score to response and resistance niches.</w:t>
      </w:r>
      <w:r>
        <w:rPr>
          <w:rFonts w:ascii="Times New Roman" w:hAnsi="Times New Roman" w:eastAsia="Times New Roman"/>
          <w:b w:val="0"/>
        </w:rPr>
        <w:t xml:space="preserve"> 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pPr>
        <w:spacing w:line="480" w:lineRule="auto" w:after="0"/>
      </w:pPr>
      <w:r>
        <w:rPr>
          <w:rFonts w:ascii="Times New Roman" w:hAnsi="Times New Roman" w:eastAsia="Times New Roman"/>
          <w:b/>
        </w:rPr>
        <w:t>Figure 7 | A locked 62-gene immune-ecology panel enables independent scoring.</w:t>
      </w:r>
      <w:r>
        <w:rPr>
          <w:rFonts w:ascii="Times New Roman" w:hAnsi="Times New Roman" w:eastAsia="Times New Roman"/>
          <w:b w:val="0"/>
        </w:rPr>
        <w:t xml:space="preserve"> 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sectPr w:rsidR="00FC693F" w:rsidRPr="0006063C" w:rsidSect="00034616">
      <w:footerReference w:type="default" r:id="rId9"/>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