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1F4E79"/>
          <w:sz w:val="32"/>
        </w:rPr>
        <w:t>Plant-CellFM v9 English Submission Synopsis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Generated: `2026-07-31 02:05 Asia/Shanghai`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Repository: https://github.com/ahvsjags/SnowLotus-CellFM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Branch: `agent/remote-pipeline-20260728`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Release tag: `v0.9.0-plant-general-lora`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Proposed Title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Plant-CellFM: a reproducible foundation-model and adapter framework for plant single-cell annotation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Abstract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Plant single-cell and single-nucleus transcriptomic studies increasingly cover diverse species, tissues and assay formats, yet cross-study reuse is limited by heterogeneous matrix formats, non-unified cell-state names and species-specific gene identifiers. We present Plant-CellFM v9, a reproducible plant expression foundation-model and all-plant adapter framework for audited single-cell annotation. The release combines a public plant expression corpus, shared-gene Transformer representations, LoRA-based model freezing, runtime species-adapter resolution, hierarchical annotation outputs and server-side release verification. On the same shared-gene benchmark, Plant-CellFM v9 improves over the frozen v3 extended baseline in leave-dataset-out all-cell accuracy (0.4490 versus 0.2021) and leave-sample-out all-cell accuracy (0.6200 versus 0.4155). Under normalized leave-species-out evaluation, v9 reaches all-cell accuracy 0.2354, coverage 0.5590 and known-label accuracy 0.4210, supporting open-set cross-species transfer analysis rather than a universal high-accuracy claim. A plant cell-state ontology diagnostic covers 2,324 of 3,964 cells (74.44%) after excluding unknown or unannotated states. A Species-Transfer Calibration layer improves frozen leave-species all-cell accuracy from 23.64% to 30.10% and known-label accuracy from 42.28% to 53.84% without training on held-out species labels. The API confidence layer reaches 96.64% and 92.81% selective accuracy when accepting the top 30% and 40% confidence cells. The release further includes 24 adapter entries, an Arabidopsis root case with 260 marker-candidate rows across 13 cell states and 10 root-identity states, and a multi-species scPlantDB case with 31,503 cells across 4 species. Plant-CellFM v9 therefore provides a traceable method and resource for plant single-cell annotation, benchmark auditing and target-species adapter transfer.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Significance Statement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Plant single-cell atlases are expanding faster than their annotation conventions can be harmonized. Plant-CellFM v9 turns this practical bottleneck into a reproducible modelling problem: matrices, labels, adapters, checkpoints, benchmark splits and server health are all exposed as auditable release objects. Its central contribution is a reusable plant-general framework that makes cross-dataset transfer, open-set species transfer and target-species adapter preparation inspectable from the same code path.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Highlights</w:t>
      </w:r>
    </w:p>
    <w:p>
      <w:pPr>
        <w:pStyle w:val="ListBullet"/>
      </w:pPr>
      <w:r>
        <w:rPr>
          <w:rFonts w:ascii="Arial" w:hAnsi="Arial"/>
          <w:b w:val="0"/>
          <w:sz w:val="21"/>
        </w:rPr>
        <w:t>Plant-general foundation model for single-cell and single-nucleus plant expression annotation.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All-plant adapter framework with 24 adapter entries and universal fallback resolution.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Strict grouped evaluation, including leave-dataset-out, leave-sample-out and normalized leave-species-out protocols.</w:t>
      </w:r>
    </w:p>
    <w:p>
      <w:pPr>
        <w:pStyle w:val="ListBullet"/>
      </w:pPr>
      <w:r>
        <w:rPr>
          <w:rFonts w:ascii="Arial" w:hAnsi="Arial"/>
          <w:b w:val="0"/>
          <w:sz w:val="21"/>
        </w:rPr>
        <w:t>v9 improves over frozen v3 in leave-dataset-out all-cell accuracy (0.4490 versus 0.2021) and leave-sample-out all-cell accuracy (0.6200 versus 0.4155).</w:t>
      </w:r>
    </w:p>
    <w:p>
      <w:pPr>
        <w:pStyle w:val="ListBullet"/>
      </w:pPr>
      <w:r>
        <w:rPr>
          <w:rFonts w:ascii="Arial" w:hAnsi="Arial"/>
          <w:b w:val="0"/>
          <w:sz w:val="21"/>
        </w:rPr>
        <w:t>Species-Transfer Calibration improves frozen leave-species all-cell accuracy from 23.64% to 30.10% and known-label accuracy from 42.28% to 53.84%.</w:t>
      </w:r>
    </w:p>
    <w:p>
      <w:pPr>
        <w:pStyle w:val="ListBullet"/>
      </w:pPr>
      <w:r>
        <w:rPr>
          <w:rFonts w:ascii="Arial" w:hAnsi="Arial"/>
          <w:b w:val="0"/>
          <w:sz w:val="21"/>
        </w:rPr>
        <w:t>Ontology-actionable benchmark separates 74.44% covered cells from unknown or unannotated states.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Open-set calibration reaches 96.64%/92.81% selective accuracy at top-30/top-40 confidence acceptance.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Arabidopsis root case provides 260 marker-candidate rows across 13 cell states.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Multi-species scPlantDB case adds 31,503 cells across 4 species and 96 marker-candidate records.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Graphical Abstract Text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1: Heterogeneous public plant matrices enter an audited corpus layer with accession, species, label and file-integrity records.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2: Shared-gene expression profiles are encoded by the Plant-CellFM representation model and frozen through a LoRA release checkpoint.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3: Runtime adapter resolution selects exact species adapters when available and falls back to a plant-universal adapter for new species; the STC layer calibrates held-out-species transfer on frozen embeddings.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4: Grouped benchmarks quantify leave-dataset, leave-sample and open-set leave-species transfer against frozen v3, centroid and Seurat comparators.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5: The Arabidopsis root case links model output to cell-state labels and marker-candidate mining for downstream biological interpretation.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6: Open-set confidence calibration and the multi-species scPlantDB case show how high-confidence predictions, review routing and public-data biology examples are packaged for reuse.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Evidence At A Glance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Completed metric rows in external benchmark panel: 6 / 8.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Completed formal comparisons in the current package: 5.</w:t>
      </w:r>
    </w:p>
    <w:p>
      <w:pPr>
        <w:pStyle w:val="ListBullet"/>
      </w:pPr>
      <w:r>
        <w:rPr>
          <w:rFonts w:ascii="Arial" w:hAnsi="Arial"/>
          <w:b w:val="0"/>
          <w:sz w:val="21"/>
        </w:rPr>
        <w:t>Normalized leave-species-out all-cell accuracy: 0.2354.</w:t>
      </w:r>
    </w:p>
    <w:p>
      <w:pPr>
        <w:pStyle w:val="ListBullet"/>
      </w:pPr>
      <w:r>
        <w:rPr>
          <w:rFonts w:ascii="Arial" w:hAnsi="Arial"/>
          <w:b w:val="0"/>
          <w:sz w:val="21"/>
        </w:rPr>
        <w:t>Normalized leave-species-out known-label accuracy: 0.4210.</w:t>
      </w:r>
    </w:p>
    <w:p>
      <w:pPr>
        <w:pStyle w:val="ListBullet"/>
      </w:pPr>
      <w:r>
        <w:rPr>
          <w:rFonts w:ascii="Arial" w:hAnsi="Arial"/>
          <w:b w:val="0"/>
          <w:sz w:val="21"/>
        </w:rPr>
        <w:t>STC leave-species all-cell accuracy: 30.10%, from centroid 23.64%.</w:t>
      </w:r>
    </w:p>
    <w:p>
      <w:pPr>
        <w:pStyle w:val="ListBullet"/>
      </w:pPr>
      <w:r>
        <w:rPr>
          <w:rFonts w:ascii="Arial" w:hAnsi="Arial"/>
          <w:b w:val="0"/>
          <w:sz w:val="21"/>
        </w:rPr>
        <w:t>STC leave-species known-label accuracy: 53.84%, from centroid 42.28%.</w:t>
      </w:r>
    </w:p>
    <w:p>
      <w:pPr>
        <w:pStyle w:val="ListBullet"/>
      </w:pPr>
      <w:r>
        <w:rPr>
          <w:rFonts w:ascii="Arial" w:hAnsi="Arial"/>
          <w:b w:val="0"/>
          <w:sz w:val="21"/>
        </w:rPr>
        <w:t>Ontology-label actionable all-cell accuracy: 14.97%.</w:t>
      </w:r>
    </w:p>
    <w:p>
      <w:pPr>
        <w:pStyle w:val="ListBullet"/>
      </w:pPr>
      <w:r>
        <w:rPr>
          <w:rFonts w:ascii="Arial" w:hAnsi="Arial"/>
          <w:b w:val="0"/>
          <w:sz w:val="21"/>
        </w:rPr>
        <w:t>Ontology-label known-label accuracy: 20.12%.</w:t>
      </w:r>
    </w:p>
    <w:p>
      <w:pPr>
        <w:pStyle w:val="ListBullet"/>
      </w:pPr>
      <w:r>
        <w:rPr>
          <w:rFonts w:ascii="Arial" w:hAnsi="Arial"/>
          <w:b w:val="0"/>
          <w:sz w:val="21"/>
        </w:rPr>
        <w:t>Ontology-label macro-F1: 0.1395.</w:t>
      </w:r>
    </w:p>
    <w:p>
      <w:pPr>
        <w:pStyle w:val="ListBullet"/>
      </w:pPr>
      <w:r>
        <w:rPr>
          <w:rFonts w:ascii="Arial" w:hAnsi="Arial"/>
          <w:b w:val="0"/>
          <w:sz w:val="21"/>
        </w:rPr>
        <w:t>API confidence top-30 selective accuracy: 96.64%.</w:t>
      </w:r>
    </w:p>
    <w:p>
      <w:pPr>
        <w:pStyle w:val="ListBullet"/>
      </w:pPr>
      <w:r>
        <w:rPr>
          <w:rFonts w:ascii="Arial" w:hAnsi="Arial"/>
          <w:b w:val="0"/>
          <w:sz w:val="21"/>
        </w:rPr>
        <w:t>API confidence top-40 selective accuracy: 92.81%.</w:t>
      </w:r>
    </w:p>
    <w:p>
      <w:pPr>
        <w:pStyle w:val="ListBullet"/>
      </w:pPr>
      <w:r>
        <w:rPr>
          <w:rFonts w:ascii="Arial" w:hAnsi="Arial"/>
          <w:b w:val="0"/>
          <w:sz w:val="21"/>
        </w:rPr>
        <w:t>Multi-species scPlantDB case: 31,503 cells, 4 species, 96 marker-candidate records.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Editorial Positioning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The manuscript is positioned as a computational method/resource paper for plant single-cell annotation. The core promise is reproducibility, adapter-based plant generalization and transparent benchmark auditing. The submission reports open-set leave-species performance as diagnostic transfer evidence, adds selective annotation evidence for high-confidence predictions, treats Snow Lotus as one target-species adapter entry point and records scPlantLLM/scPlantAnnotate through official-source benchmark contracts pending official metric closure.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Submission Checklist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`SUBMISSION_INDEX_v9.md` as the reviewer entry point.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`manuscript/Plant_CellFM_v9_final_submission_zh_v1.docx` as the current full Chinese manuscript.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`manuscript/Plant_CellFM_v9_cover_letter.docx` as the cover letter.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this synopsis for the English abstract, highlights, significance and graphical abstract text.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`release_metadata/data_code_availability_v9.md` for repository, release and server reproducibility statements.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the final editor package with `scripts/verify_v9_server_release.py` before resubmission.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