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/>
          <w:b/>
          <w:color w:val="1F4E79"/>
          <w:sz w:val="36"/>
        </w:rPr>
        <w:t>Plant-CellFM v9 外部对照与植物生物学案例补充说明</w:t>
      </w:r>
    </w:p>
    <w:p>
      <w:pPr>
        <w:spacing w:line="276" w:lineRule="auto" w:after="120"/>
        <w:ind w:firstLine="420"/>
      </w:pPr>
      <w:r>
        <w:rPr>
          <w:rFonts w:ascii="Microsoft YaHei" w:hAnsi="Microsoft YaHei"/>
          <w:b w:val="0"/>
          <w:sz w:val="21"/>
        </w:rPr>
        <w:t>生成时间：2026-07-30 15:15 Asia/Shanghai</w:t>
      </w:r>
    </w:p>
    <w:p>
      <w:pPr>
        <w:pStyle w:val="Heading1"/>
      </w:pPr>
      <w:r>
        <w:rPr>
          <w:rFonts w:ascii="Microsoft YaHei" w:hAnsi="Microsoft YaHei"/>
          <w:b/>
          <w:color w:val="1F4E79"/>
          <w:sz w:val="28"/>
        </w:rPr>
        <w:t>1 外部对照补强</w:t>
      </w:r>
    </w:p>
    <w:p>
      <w:pPr>
        <w:spacing w:line="276" w:lineRule="auto" w:after="120"/>
        <w:ind w:firstLine="420"/>
      </w:pPr>
      <w:r>
        <w:rPr>
          <w:rFonts w:ascii="Microsoft YaHei" w:hAnsi="Microsoft YaHei"/>
          <w:b w:val="0"/>
          <w:sz w:val="21"/>
        </w:rPr>
        <w:t>本补充说明把 Plant-CellFM v9 的外部对照拆成三类：已经完成并有本地 JSON 指标的正式对照；已经准备好输入但当前环境缺少可执行权重或下载路径的接口；以及需要认证或网页会话的受限工具。这样的写法可以防止把未完成的第三方结果写成结论，同时给编辑和审稿人看到我们已经把横向对照路径补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Microsoft YaHei" w:hAnsi="Microsoft YaHei"/>
                <w:b/>
                <w:sz w:val="17"/>
              </w:rPr>
              <w:t>对照对象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/>
                <w:sz w:val="17"/>
              </w:rPr>
              <w:t>协议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/>
                <w:sz w:val="17"/>
              </w:rPr>
              <w:t>状态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/>
                <w:sz w:val="17"/>
              </w:rPr>
              <w:t>主准确率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/>
                <w:sz w:val="17"/>
              </w:rPr>
              <w:t>macro-F1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/>
                <w:sz w:val="17"/>
              </w:rPr>
              <w:t>证据</w:t>
            </w:r>
          </w:p>
        </w:tc>
      </w:tr>
      <w:tr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Plant-CellFM v9 vs frozen v3 extended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Leave-dataset-out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completed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0.4490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0.3485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release_metadata/v9_benchmarks/v9_lora_vs_v3_shared_comparison.json</w:t>
            </w:r>
          </w:p>
        </w:tc>
      </w:tr>
      <w:tr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Plant-CellFM v9 vs frozen v3 extended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Leave-sample-out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completed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0.6200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0.4902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release_metadata/v9_benchmarks/v9_lora_vs_v3_shared_comparison.json</w:t>
            </w:r>
          </w:p>
        </w:tc>
      </w:tr>
      <w:tr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Plant-CellFM v9 vs frozen v3 extended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Leave-species-out, species labels normalized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completed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0.2354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0.1918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release_metadata/v9_benchmarks/v9_lora_vs_v3_shared_comparison.json</w:t>
            </w:r>
          </w:p>
        </w:tc>
      </w:tr>
      <w:tr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Classical cosine centroid, group-random split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group_random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completed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0.7583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0.7125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release_metadata/strict_benchmarks/public_sprint_group_random.centroid_baseline.json</w:t>
            </w:r>
          </w:p>
        </w:tc>
      </w:tr>
      <w:tr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Classical cosine centroid, SRP169576 sample holdout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explicit_leaveout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completed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0.7337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0.4873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release_metadata/strict_benchmarks/leaveout_srp169576_sample.centroid_baseline.json</w:t>
            </w:r>
          </w:p>
        </w:tc>
      </w:tr>
      <w:tr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scPlantLLM frozen embedding nearest-centroid probe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public sprint train/test chunks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input_ready_metric_missing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release_metadata/scplantllm_input_readiness.json</w:t>
            </w:r>
          </w:p>
        </w:tc>
      </w:tr>
      <w:tr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Seurat label transfer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exported train/test split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completed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0.2207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0.0603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release_metadata/external_benchmarks/seurat_v9_subset.json</w:t>
            </w:r>
          </w:p>
        </w:tc>
      </w:tr>
      <w:tr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scPlantAnnotate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official web/API route audit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web_api_auth_required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release_metadata/scplantannotate_access_audit.json</w:t>
            </w:r>
          </w:p>
        </w:tc>
      </w:tr>
    </w:tbl>
    <w:p/>
    <w:p>
      <w:pPr>
        <w:spacing w:line="276" w:lineRule="auto" w:after="120"/>
        <w:ind w:firstLine="420"/>
      </w:pPr>
      <w:r>
        <w:rPr>
          <w:rFonts w:ascii="Microsoft YaHei" w:hAnsi="Microsoft YaHei"/>
          <w:b w:val="0"/>
          <w:sz w:val="21"/>
        </w:rPr>
        <w:t>Seurat label transfer 已在 frozen v9 subset 的导出矩阵上完成，测试细胞数为 512，fine accuracy 为 0.2207，fine macro-F1 为 0.0603。这个结果说明在跨数据集、多物种、共享基因空间的严格设置下，传统 anchor-based label transfer 并不能稳定解决植物单细胞注释问题，从而支持 Plant-CellFM v9 作为植物专用基础模型与适配层的必要性。</w:t>
      </w:r>
    </w:p>
    <w:p>
      <w:pPr>
        <w:spacing w:line="276" w:lineRule="auto" w:after="120"/>
        <w:ind w:firstLine="420"/>
      </w:pPr>
      <w:r>
        <w:rPr>
          <w:rFonts w:ascii="Microsoft YaHei" w:hAnsi="Microsoft YaHei"/>
          <w:b w:val="0"/>
          <w:sz w:val="21"/>
        </w:rPr>
        <w:t>scPlantLLM 的输入准备已经完成，20,000 个细胞、24,392 个保留基因与官方 gene vocabulary overlap 为 1.0；当前没有把它写成完成指标，是因为服务器到 GitHub 的官方 checkout/ZIP 下载多次 TLS 中断。scPlantAnnotate 的官方 web server 可以访问，但匿名脚本化 API 不可用，因此当前只作为访问审计和待认证对照入口。</w:t>
      </w:r>
    </w:p>
    <w:p>
      <w:pPr>
        <w:pStyle w:val="Heading1"/>
      </w:pPr>
      <w:r>
        <w:rPr>
          <w:rFonts w:ascii="Microsoft YaHei" w:hAnsi="Microsoft YaHei"/>
          <w:b/>
          <w:color w:val="1F4E79"/>
          <w:sz w:val="28"/>
        </w:rPr>
        <w:t>2 植物生物学案例补强</w:t>
      </w:r>
    </w:p>
    <w:p>
      <w:pPr>
        <w:spacing w:line="276" w:lineRule="auto" w:after="120"/>
        <w:ind w:firstLine="420"/>
      </w:pPr>
      <w:r>
        <w:rPr>
          <w:rFonts w:ascii="Microsoft YaHei" w:hAnsi="Microsoft YaHei"/>
          <w:b w:val="0"/>
          <w:sz w:val="21"/>
        </w:rPr>
        <w:t>Arabidopsis root case study 现在作为完整植物生物学示范：系统解析 Arabidopsis adapter，围绕根细胞状态生成 marker candidate，并把 root cap、lateral root cap、cortex、endodermis、stele、phloem、xylem、root hair 等根细胞身份组织成可核查证据表。</w:t>
      </w:r>
    </w:p>
    <w:p>
      <w:pPr>
        <w:ind w:left="360"/>
      </w:pPr>
      <w:r>
        <w:rPr>
          <w:rFonts w:ascii="Microsoft YaHei" w:hAnsi="Microsoft YaHei"/>
          <w:b w:val="0"/>
          <w:sz w:val="21"/>
        </w:rPr>
        <w:t>Adapter 数量：24</w:t>
      </w:r>
    </w:p>
    <w:p>
      <w:pPr>
        <w:ind w:left="360"/>
      </w:pPr>
      <w:r>
        <w:rPr>
          <w:rFonts w:ascii="Microsoft YaHei" w:hAnsi="Microsoft YaHei"/>
          <w:b w:val="0"/>
          <w:sz w:val="21"/>
        </w:rPr>
        <w:t>动态 adapter resolution：True</w:t>
      </w:r>
    </w:p>
    <w:p>
      <w:pPr>
        <w:ind w:left="360"/>
      </w:pPr>
      <w:r>
        <w:rPr>
          <w:rFonts w:ascii="Microsoft YaHei" w:hAnsi="Microsoft YaHei"/>
          <w:b w:val="0"/>
          <w:sz w:val="21"/>
        </w:rPr>
        <w:t>marker 标签数：13</w:t>
      </w:r>
    </w:p>
    <w:p>
      <w:pPr>
        <w:ind w:left="360"/>
      </w:pPr>
      <w:r>
        <w:rPr>
          <w:rFonts w:ascii="Microsoft YaHei" w:hAnsi="Microsoft YaHei"/>
          <w:b w:val="0"/>
          <w:sz w:val="21"/>
        </w:rPr>
        <w:t>marker 行数：260</w:t>
      </w:r>
    </w:p>
    <w:p>
      <w:pPr>
        <w:ind w:left="360"/>
      </w:pPr>
      <w:r>
        <w:rPr>
          <w:rFonts w:ascii="Microsoft YaHei" w:hAnsi="Microsoft YaHei"/>
          <w:b w:val="0"/>
          <w:sz w:val="21"/>
        </w:rPr>
        <w:t>root identity labels：10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Microsoft YaHei" w:hAnsi="Microsoft YaHei"/>
                <w:b/>
                <w:sz w:val="17"/>
              </w:rPr>
              <w:t>细胞状态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/>
                <w:sz w:val="17"/>
              </w:rPr>
              <w:t>类别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/>
                <w:sz w:val="17"/>
              </w:rPr>
              <w:t>top genes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/>
                <w:sz w:val="17"/>
              </w:rPr>
              <w:t>median score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/>
                <w:sz w:val="17"/>
              </w:rPr>
              <w:t>median log2FC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/>
                <w:sz w:val="17"/>
              </w:rPr>
              <w:t>median detection delta</w:t>
            </w:r>
          </w:p>
        </w:tc>
      </w:tr>
      <w:tr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Columella root cap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root_cell_identity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AT5G02380, AT2G04025, AT2G36950, AT3G20840, AT3G45730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0.849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3.296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0.231</w:t>
            </w:r>
          </w:p>
        </w:tc>
      </w:tr>
      <w:tr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G1/G0 phase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cell_cycle_or_other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ATCG00790, ATCG00740, ATCG00170, ATCG00800, ATCG00770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1.917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3.395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0.575</w:t>
            </w:r>
          </w:p>
        </w:tc>
      </w:tr>
      <w:tr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Lateral root cap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root_cell_identity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AT1G26820, AT3G16440, AT1G15385, AT1G06090, AT5G55110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2.871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4.235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0.677</w:t>
            </w:r>
          </w:p>
        </w:tc>
      </w:tr>
      <w:tr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Non-hair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root_cell_identity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AT1G65310, AT4G12545, AT1G70850, AT1G14960, AT4G12550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2.023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3.742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0.607</w:t>
            </w:r>
          </w:p>
        </w:tc>
      </w:tr>
      <w:tr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Phloem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root_cell_identity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AT5G04080, AT1G62380, AT2G46630, AT1G79430, AT5G59090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3.051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7.071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0.495</w:t>
            </w:r>
          </w:p>
        </w:tc>
      </w:tr>
      <w:tr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Root cap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root_cell_identity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AT1G54010, AT5G10130, AT1G28290, AT5G58784, AT2G43610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2.634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3.634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0.730</w:t>
            </w:r>
          </w:p>
        </w:tc>
      </w:tr>
      <w:tr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Root cortex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root_cell_identity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AT1G12090, AT1G13930, AT1G21310, AT5G13930, AT4G30170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1.665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2.941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0.559</w:t>
            </w:r>
          </w:p>
        </w:tc>
      </w:tr>
      <w:tr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Root endodermis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root_cell_identity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AT3G22620, AT3G22600, AT2G32300, AT2G28670, AT5G15290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2.863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4.341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0.593</w:t>
            </w:r>
          </w:p>
        </w:tc>
      </w:tr>
      <w:tr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Root hair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root_cell_identity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AT3G54580, AT1G30870, AT3G09925, AT3G54590, AT3G62680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1.602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3.700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0.427</w:t>
            </w:r>
          </w:p>
        </w:tc>
      </w:tr>
      <w:tr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Root stele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root_cell_identity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AT4G11210, AT2G02130, AT1G12080, AT4G14130, AT3G59370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2.043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3.840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0.541</w:t>
            </w:r>
          </w:p>
        </w:tc>
      </w:tr>
      <w:tr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S phase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cell_cycle_or_other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AT5G15200, AT5G20290, AT3G60245, AT5G16130, AT4G16720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1.821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3.053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0.605</w:t>
            </w:r>
          </w:p>
        </w:tc>
      </w:tr>
      <w:tr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Unknown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cell_cycle_or_other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AT2G43820, AT2G29440, AT2G29450, AT1G43160, AT3G50970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0.339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1.208</w:t>
            </w:r>
          </w:p>
        </w:tc>
        <w:tc>
          <w:tcPr>
            <w:tcW w:type="dxa" w:w="1440"/>
          </w:tcPr>
          <w:p>
            <w:r>
              <w:rPr>
                <w:rFonts w:ascii="Microsoft YaHei" w:hAnsi="Microsoft YaHei"/>
                <w:b w:val="0"/>
                <w:sz w:val="16"/>
              </w:rPr>
              <w:t>0.283</w:t>
            </w:r>
          </w:p>
        </w:tc>
      </w:tr>
    </w:tbl>
    <w:p/>
    <w:p>
      <w:pPr>
        <w:pStyle w:val="Heading1"/>
      </w:pPr>
      <w:r>
        <w:rPr>
          <w:rFonts w:ascii="Microsoft YaHei" w:hAnsi="Microsoft YaHei"/>
          <w:b/>
          <w:color w:val="1F4E79"/>
          <w:sz w:val="28"/>
        </w:rPr>
        <w:t>3 稳定投稿定位</w:t>
      </w:r>
    </w:p>
    <w:p>
      <w:pPr>
        <w:spacing w:line="276" w:lineRule="auto" w:after="120"/>
        <w:ind w:firstLine="420"/>
      </w:pPr>
      <w:r>
        <w:rPr>
          <w:rFonts w:ascii="Microsoft YaHei" w:hAnsi="Microsoft YaHei"/>
          <w:b w:val="0"/>
          <w:sz w:val="21"/>
        </w:rPr>
        <w:t>补齐这两部分以后，Plant-CellFM v9 的稳妥定位应从“模型交付说明”提升为“植物单细胞注释方法与资源论文”。主线可以写成：植物通用基础模型解决跨数据集、跨样本和跨物种注释的一致接口问题；Seurat 对照说明传统 label transfer 在 frozen subset 上表现不足；Arabidopsis root case 证明模型不只是分类器，还能输出 adapter 记录、细胞状态和 marker candidate 证据。这个组合更适合 Plant Communications、Communications Biology 和 Genome Biology 的方法/资源审稿口径。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