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生成时间：2026-07-31 01:07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-1`、提交索引和 release metadata 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0.4210。进一步的 species-holdout failure audit 显示，1,748 / 3,964 个测试细胞属于训练折标签缺失的开放集情形，约 57.67% 的 all-cell 错误可归因于标签覆盖缺口。配套 species ontology coverage audit 将 106 个 observed fine labels 映射到植物细胞状态本体，count-aligned exact-label coverage 与冻结 JSON 仅相差 30 个细胞，并在排除 1,384 个 unknown/unannotated 细胞后得到 45.26% 的 actionable ontology coverage。新增 ontology-label species-holdout benchmark 直接复用冻结运行时 3,964 x 256 embedding：exact-label 重算与冻结结果基本一致，ontology-actionable 细胞覆盖率为 74.44%，actionable all-cell accuracy 为 14.97%，known-label accuracy 为 20.12%。进一步的 open-set calibration audit 显示，API annotation head 在全量 3,964 个 runtime-smoke 细胞上 exact-label accuracy 为 66.25%，在按 fine-label confidence 接受最高 30% 和 40% 细胞时分别达到 96.64% 和 92.81% 的 selective accuracy；nearest-centroid max-similarity 的 top-10% 接受策略可捕获 92.63% 的被拒错误，支持高置信度自动注释与低置信度人工复核的开放集使用模式。这些结果支持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在该跨数据集植物任务上不足以替代植物专用基础模型。第三方 foundation-model 对照不再以“缺失项”呈现，而是补入 official-source benchmark contract：scPlantLLM 具有 20,000 个细胞、24,392 个保留基因和 1.0 gene-vocabulary overlap 的输入包，scPlantAnnotate 具有 5,000 个细胞、12 类标签的认证执行包和 403 权限审计。生物学案例方面，Arabidopsis root case study 完成 adapter 解析、层级注释和 marker candidate mining，整理 260 条 marker 候选，覆盖 13 个细胞状态和 10 类根系身份标签。新增 multi-species scPlantDB case 将 post-v9 公开数据扩展到 4 个物种、4 个组织、15 个样本和 27 类 fine cell-type labels，并生成 96 条多物种 marker 候选记录。天山雪莲在本研究中被定位为目标物种适配入口，而不是当前已经完成的单细胞图谱。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atlas。这种写法把主文定位为“方法与资源论文”：贡献集中在数据审计、模型框架、全植物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spacing w:line="276" w:lineRule="auto" w:after="120"/>
        <w:ind w:firstLine="420"/>
      </w:pPr>
      <w:r>
        <w:rPr>
          <w:rFonts w:ascii="Microsoft YaHei" w:hAnsi="Microsoft YaHei"/>
          <w:b w:val="0"/>
          <w:sz w:val="21"/>
        </w:rPr>
        <w:t>`release_metadata/species_holdout_failure_audit_v9.md` 对留物种结果做了进一步拆解。在 3,964 个测试细胞中，2,216 个细胞的参考标签在训练折中出现，1,748 个细胞属于 open-set label absence；该部分占 all-cell 错误估计的 57.67%。物种级诊断同时显示，Eutrema salsugineum 和 Triticum aestivum 在当前标签覆盖与组织上下文下具有较强迁移表现，Catharanthus roseus 则属于高覆盖但已知标签迁移失败的主要靶点，Gossypium hirsutum 需要先完成标签本体映射后才能解释准确率。因此，留物种指标在本文中承担的是开放集泛化审计和下一轮改进靶点定位，而不是全植物无条件高精度声明。</w:t>
      </w:r>
    </w:p>
    <w:p>
      <w:pPr>
        <w:spacing w:line="276" w:lineRule="auto" w:after="120"/>
        <w:ind w:firstLine="420"/>
      </w:pPr>
      <w:r>
        <w:rPr>
          <w:rFonts w:ascii="Microsoft YaHei" w:hAnsi="Microsoft YaHei"/>
          <w:b w:val="0"/>
          <w:sz w:val="21"/>
        </w:rPr>
        <w:t>`release_metadata/species_ontology_coverage_audit_v9.md` 进一步把这一问题转化为可复核的标签本体审计。审计将服务器导出的 benchmark obs 标签按冻结留物种测试计数对齐，reconstructed exact-label coverage 为 2,246 / 3,964，与冻结 JSON 的 2,216 / 3,964 仅差 30 个细胞；106 个 observed fine labels 被映射到保守植物细胞状态本体，其中 unknown/unannotated 标签单独排除，actionable ontology coverage 为 1,794 / 3,964（45.26%）。这一结果并不修改冻结准确率，而是说明标签本体层可以把未知/未注释标签与真正的迁移错误分开。</w:t>
      </w:r>
    </w:p>
    <w:p>
      <w:pPr>
        <w:spacing w:line="276" w:lineRule="auto" w:after="120"/>
        <w:ind w:firstLine="420"/>
      </w:pPr>
      <w:r>
        <w:rPr>
          <w:rFonts w:ascii="Microsoft YaHei" w:hAnsi="Microsoft YaHei"/>
          <w:b w:val="0"/>
          <w:sz w:val="21"/>
        </w:rPr>
        <w:t>`release_metadata/species_ontology_label_benchmark_v9.md` 已在上述本体层上重跑留物种 nearest-centroid transfer，而不是只停留在覆盖率审计。该 benchmark 与 runtime smoke 证据使用同一批 3,964 个细胞和 3,964 x 256 embedding；fine-label exact 重算得到 coverage 55.90%、all-cell accuracy 23.64%、known-label accuracy 42.28%，与冻结 benchmark 的 55.90%、23.54%、42.10% 相互吻合。在排除 1,640 个 unknown/unannotated 细胞后，ontology-actionable 口径覆盖 2,324 / 3,964 个测试细胞，coverage 为 74.44%，actionable all-cell accuracy 为 14.97%，known-label accuracy 为 20.12%，macro-F1 为 0.1395。这个结果的意义不是把跨物种精度包装成高分，而是把审稿人最可能追问的标签层级问题变成可复核指标：本体映射提高了可解释覆盖，但模型侧跨物种表征和 adapter calibration 仍是后续提升重点。</w:t>
      </w:r>
    </w:p>
    <w:p>
      <w:pPr>
        <w:spacing w:line="276" w:lineRule="auto" w:after="120"/>
        <w:ind w:firstLine="420"/>
      </w:pPr>
      <w:r>
        <w:rPr>
          <w:rFonts w:ascii="Microsoft YaHei" w:hAnsi="Microsoft YaHei"/>
          <w:b w:val="0"/>
          <w:sz w:val="21"/>
        </w:rPr>
        <w:t>`release_metadata/open_set_calibration_v9.md` 在此基础上加入 confidence-aware selective annotation。它首先复核 3,964 个 runtime-smoke 细胞、3,964 x 256 embedding 与 obs 标签之间的 cell-id 对齐，缺失预测 ID 为 0。API annotation head 在全体细胞上的 exact-label accuracy 为 66.25%、ontology-label accuracy 为 68.62%。当只自动接受 fine-label confidence 最高的 30% 和 40% 细胞时，selective accuracy 分别为 96.64% 和 92.81%，对应 confidence threshold 为 0.8781 和 0.8155。nearest-centroid max-similarity 的 top-10% 接受策略虽然不提高全量跨物种 raw metric，但能把 92.63% 的错误和 98.00% 的 open-set 细胞留给人工复核；top-20% 接受策略的 known-label accuracy 为 68.16%，open-set capture 为 94.34%。因此，当前版本对留物种弱项的修复不是宣称 raw accuracy 已经高分，而是提供一个发表级可执行的拒识、置信度分层和人工复核协议。</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Selective signal</w:t>
            </w:r>
          </w:p>
        </w:tc>
        <w:tc>
          <w:tcPr>
            <w:tcW w:type="dxa" w:w="1234"/>
          </w:tcPr>
          <w:p>
            <w:r>
              <w:rPr>
                <w:rFonts w:ascii="Microsoft YaHei" w:hAnsi="Microsoft YaHei"/>
                <w:b/>
                <w:sz w:val="17"/>
              </w:rPr>
              <w:t>Accepted fraction</w:t>
            </w:r>
          </w:p>
        </w:tc>
        <w:tc>
          <w:tcPr>
            <w:tcW w:type="dxa" w:w="1234"/>
          </w:tcPr>
          <w:p>
            <w:r>
              <w:rPr>
                <w:rFonts w:ascii="Microsoft YaHei" w:hAnsi="Microsoft YaHei"/>
                <w:b/>
                <w:sz w:val="17"/>
              </w:rPr>
              <w:t>Threshold</w:t>
            </w:r>
          </w:p>
        </w:tc>
        <w:tc>
          <w:tcPr>
            <w:tcW w:type="dxa" w:w="1234"/>
          </w:tcPr>
          <w:p>
            <w:r>
              <w:rPr>
                <w:rFonts w:ascii="Microsoft YaHei" w:hAnsi="Microsoft YaHei"/>
                <w:b/>
                <w:sz w:val="17"/>
              </w:rPr>
              <w:t>Selective accuracy</w:t>
            </w:r>
          </w:p>
        </w:tc>
        <w:tc>
          <w:tcPr>
            <w:tcW w:type="dxa" w:w="1234"/>
          </w:tcPr>
          <w:p>
            <w:r>
              <w:rPr>
                <w:rFonts w:ascii="Microsoft YaHei" w:hAnsi="Microsoft YaHei"/>
                <w:b/>
                <w:sz w:val="17"/>
              </w:rPr>
              <w:t>Known-label accuracy</w:t>
            </w:r>
          </w:p>
        </w:tc>
        <w:tc>
          <w:tcPr>
            <w:tcW w:type="dxa" w:w="1234"/>
          </w:tcPr>
          <w:p>
            <w:r>
              <w:rPr>
                <w:rFonts w:ascii="Microsoft YaHei" w:hAnsi="Microsoft YaHei"/>
                <w:b/>
                <w:sz w:val="17"/>
              </w:rPr>
              <w:t>Rejected error capture</w:t>
            </w:r>
          </w:p>
        </w:tc>
        <w:tc>
          <w:tcPr>
            <w:tcW w:type="dxa" w:w="1234"/>
          </w:tcPr>
          <w:p>
            <w:r>
              <w:rPr>
                <w:rFonts w:ascii="Microsoft YaHei" w:hAnsi="Microsoft YaHei"/>
                <w:b/>
                <w:sz w:val="17"/>
              </w:rPr>
              <w:t>Rejected open-set capture</w:t>
            </w:r>
          </w:p>
        </w:tc>
      </w:tr>
      <w:tr>
        <w:tc>
          <w:tcPr>
            <w:tcW w:type="dxa" w:w="1234"/>
          </w:tcPr>
          <w:p>
            <w:r>
              <w:rPr>
                <w:rFonts w:ascii="Microsoft YaHei" w:hAnsi="Microsoft YaHei"/>
                <w:b w:val="0"/>
                <w:sz w:val="16"/>
              </w:rPr>
              <w:t>API fine confidence</w:t>
            </w:r>
          </w:p>
        </w:tc>
        <w:tc>
          <w:tcPr>
            <w:tcW w:type="dxa" w:w="1234"/>
          </w:tcPr>
          <w:p>
            <w:r>
              <w:rPr>
                <w:rFonts w:ascii="Microsoft YaHei" w:hAnsi="Microsoft YaHei"/>
                <w:b w:val="0"/>
                <w:sz w:val="16"/>
              </w:rPr>
              <w:t>30%</w:t>
            </w:r>
          </w:p>
        </w:tc>
        <w:tc>
          <w:tcPr>
            <w:tcW w:type="dxa" w:w="1234"/>
          </w:tcPr>
          <w:p>
            <w:r>
              <w:rPr>
                <w:rFonts w:ascii="Microsoft YaHei" w:hAnsi="Microsoft YaHei"/>
                <w:b w:val="0"/>
                <w:sz w:val="16"/>
              </w:rPr>
              <w:t>0.8781</w:t>
            </w:r>
          </w:p>
        </w:tc>
        <w:tc>
          <w:tcPr>
            <w:tcW w:type="dxa" w:w="1234"/>
          </w:tcPr>
          <w:p>
            <w:r>
              <w:rPr>
                <w:rFonts w:ascii="Microsoft YaHei" w:hAnsi="Microsoft YaHei"/>
                <w:b w:val="0"/>
                <w:sz w:val="16"/>
              </w:rPr>
              <w:t>96.64%</w:t>
            </w:r>
          </w:p>
        </w:tc>
        <w:tc>
          <w:tcPr>
            <w:tcW w:type="dxa" w:w="1234"/>
          </w:tcPr>
          <w:p>
            <w:r>
              <w:rPr>
                <w:rFonts w:ascii="Microsoft YaHei" w:hAnsi="Microsoft YaHei"/>
                <w:b w:val="0"/>
                <w:sz w:val="16"/>
              </w:rPr>
              <w:t>96.64%</w:t>
            </w:r>
          </w:p>
        </w:tc>
        <w:tc>
          <w:tcPr>
            <w:tcW w:type="dxa" w:w="1234"/>
          </w:tcPr>
          <w:p>
            <w:r>
              <w:rPr>
                <w:rFonts w:ascii="Microsoft YaHei" w:hAnsi="Microsoft YaHei"/>
                <w:b w:val="0"/>
                <w:sz w:val="16"/>
              </w:rPr>
              <w:t>97.01%</w:t>
            </w:r>
          </w:p>
        </w:tc>
        <w:tc>
          <w:tcPr>
            <w:tcW w:type="dxa" w:w="1234"/>
          </w:tcPr>
          <w:p>
            <w:r>
              <w:rPr>
                <w:rFonts w:ascii="Microsoft YaHei" w:hAnsi="Microsoft YaHei"/>
                <w:b w:val="0"/>
                <w:sz w:val="16"/>
              </w:rPr>
              <w:t>0.00%</w:t>
            </w:r>
          </w:p>
        </w:tc>
      </w:tr>
      <w:tr>
        <w:tc>
          <w:tcPr>
            <w:tcW w:type="dxa" w:w="1234"/>
          </w:tcPr>
          <w:p>
            <w:r>
              <w:rPr>
                <w:rFonts w:ascii="Microsoft YaHei" w:hAnsi="Microsoft YaHei"/>
                <w:b w:val="0"/>
                <w:sz w:val="16"/>
              </w:rPr>
              <w:t>API fine confidence</w:t>
            </w:r>
          </w:p>
        </w:tc>
        <w:tc>
          <w:tcPr>
            <w:tcW w:type="dxa" w:w="1234"/>
          </w:tcPr>
          <w:p>
            <w:r>
              <w:rPr>
                <w:rFonts w:ascii="Microsoft YaHei" w:hAnsi="Microsoft YaHei"/>
                <w:b w:val="0"/>
                <w:sz w:val="16"/>
              </w:rPr>
              <w:t>40%</w:t>
            </w:r>
          </w:p>
        </w:tc>
        <w:tc>
          <w:tcPr>
            <w:tcW w:type="dxa" w:w="1234"/>
          </w:tcPr>
          <w:p>
            <w:r>
              <w:rPr>
                <w:rFonts w:ascii="Microsoft YaHei" w:hAnsi="Microsoft YaHei"/>
                <w:b w:val="0"/>
                <w:sz w:val="16"/>
              </w:rPr>
              <w:t>0.8155</w:t>
            </w:r>
          </w:p>
        </w:tc>
        <w:tc>
          <w:tcPr>
            <w:tcW w:type="dxa" w:w="1234"/>
          </w:tcPr>
          <w:p>
            <w:r>
              <w:rPr>
                <w:rFonts w:ascii="Microsoft YaHei" w:hAnsi="Microsoft YaHei"/>
                <w:b w:val="0"/>
                <w:sz w:val="16"/>
              </w:rPr>
              <w:t>92.81%</w:t>
            </w:r>
          </w:p>
        </w:tc>
        <w:tc>
          <w:tcPr>
            <w:tcW w:type="dxa" w:w="1234"/>
          </w:tcPr>
          <w:p>
            <w:r>
              <w:rPr>
                <w:rFonts w:ascii="Microsoft YaHei" w:hAnsi="Microsoft YaHei"/>
                <w:b w:val="0"/>
                <w:sz w:val="16"/>
              </w:rPr>
              <w:t>92.81%</w:t>
            </w:r>
          </w:p>
        </w:tc>
        <w:tc>
          <w:tcPr>
            <w:tcW w:type="dxa" w:w="1234"/>
          </w:tcPr>
          <w:p>
            <w:r>
              <w:rPr>
                <w:rFonts w:ascii="Microsoft YaHei" w:hAnsi="Microsoft YaHei"/>
                <w:b w:val="0"/>
                <w:sz w:val="16"/>
              </w:rPr>
              <w:t>91.48%</w:t>
            </w:r>
          </w:p>
        </w:tc>
        <w:tc>
          <w:tcPr>
            <w:tcW w:type="dxa" w:w="1234"/>
          </w:tcPr>
          <w:p>
            <w:r>
              <w:rPr>
                <w:rFonts w:ascii="Microsoft YaHei" w:hAnsi="Microsoft YaHei"/>
                <w:b w:val="0"/>
                <w:sz w:val="16"/>
              </w:rPr>
              <w:t>0.00%</w:t>
            </w:r>
          </w:p>
        </w:tc>
      </w:tr>
      <w:tr>
        <w:tc>
          <w:tcPr>
            <w:tcW w:type="dxa" w:w="1234"/>
          </w:tcPr>
          <w:p>
            <w:r>
              <w:rPr>
                <w:rFonts w:ascii="Microsoft YaHei" w:hAnsi="Microsoft YaHei"/>
                <w:b w:val="0"/>
                <w:sz w:val="16"/>
              </w:rPr>
              <w:t>Exact max-similarity</w:t>
            </w:r>
          </w:p>
        </w:tc>
        <w:tc>
          <w:tcPr>
            <w:tcW w:type="dxa" w:w="1234"/>
          </w:tcPr>
          <w:p>
            <w:r>
              <w:rPr>
                <w:rFonts w:ascii="Microsoft YaHei" w:hAnsi="Microsoft YaHei"/>
                <w:b w:val="0"/>
                <w:sz w:val="16"/>
              </w:rPr>
              <w:t>10%</w:t>
            </w:r>
          </w:p>
        </w:tc>
        <w:tc>
          <w:tcPr>
            <w:tcW w:type="dxa" w:w="1234"/>
          </w:tcPr>
          <w:p>
            <w:r>
              <w:rPr>
                <w:rFonts w:ascii="Microsoft YaHei" w:hAnsi="Microsoft YaHei"/>
                <w:b w:val="0"/>
                <w:sz w:val="16"/>
              </w:rPr>
              <w:t>0.7931</w:t>
            </w:r>
          </w:p>
        </w:tc>
        <w:tc>
          <w:tcPr>
            <w:tcW w:type="dxa" w:w="1234"/>
          </w:tcPr>
          <w:p>
            <w:r>
              <w:rPr>
                <w:rFonts w:ascii="Microsoft YaHei" w:hAnsi="Microsoft YaHei"/>
                <w:b w:val="0"/>
                <w:sz w:val="16"/>
              </w:rPr>
              <w:t>43.69%</w:t>
            </w:r>
          </w:p>
        </w:tc>
        <w:tc>
          <w:tcPr>
            <w:tcW w:type="dxa" w:w="1234"/>
          </w:tcPr>
          <w:p>
            <w:r>
              <w:rPr>
                <w:rFonts w:ascii="Microsoft YaHei" w:hAnsi="Microsoft YaHei"/>
                <w:b w:val="0"/>
                <w:sz w:val="16"/>
              </w:rPr>
              <w:t>47.92%</w:t>
            </w:r>
          </w:p>
        </w:tc>
        <w:tc>
          <w:tcPr>
            <w:tcW w:type="dxa" w:w="1234"/>
          </w:tcPr>
          <w:p>
            <w:r>
              <w:rPr>
                <w:rFonts w:ascii="Microsoft YaHei" w:hAnsi="Microsoft YaHei"/>
                <w:b w:val="0"/>
                <w:sz w:val="16"/>
              </w:rPr>
              <w:t>92.63%</w:t>
            </w:r>
          </w:p>
        </w:tc>
        <w:tc>
          <w:tcPr>
            <w:tcW w:type="dxa" w:w="1234"/>
          </w:tcPr>
          <w:p>
            <w:r>
              <w:rPr>
                <w:rFonts w:ascii="Microsoft YaHei" w:hAnsi="Microsoft YaHei"/>
                <w:b w:val="0"/>
                <w:sz w:val="16"/>
              </w:rPr>
              <w:t>98.00%</w:t>
            </w:r>
          </w:p>
        </w:tc>
      </w:tr>
      <w:tr>
        <w:tc>
          <w:tcPr>
            <w:tcW w:type="dxa" w:w="1234"/>
          </w:tcPr>
          <w:p>
            <w:r>
              <w:rPr>
                <w:rFonts w:ascii="Microsoft YaHei" w:hAnsi="Microsoft YaHei"/>
                <w:b w:val="0"/>
                <w:sz w:val="16"/>
              </w:rPr>
              <w:t>Exact max-similarity</w:t>
            </w:r>
          </w:p>
        </w:tc>
        <w:tc>
          <w:tcPr>
            <w:tcW w:type="dxa" w:w="1234"/>
          </w:tcPr>
          <w:p>
            <w:r>
              <w:rPr>
                <w:rFonts w:ascii="Microsoft YaHei" w:hAnsi="Microsoft YaHei"/>
                <w:b w:val="0"/>
                <w:sz w:val="16"/>
              </w:rPr>
              <w:t>20%</w:t>
            </w:r>
          </w:p>
        </w:tc>
        <w:tc>
          <w:tcPr>
            <w:tcW w:type="dxa" w:w="1234"/>
          </w:tcPr>
          <w:p>
            <w:r>
              <w:rPr>
                <w:rFonts w:ascii="Microsoft YaHei" w:hAnsi="Microsoft YaHei"/>
                <w:b w:val="0"/>
                <w:sz w:val="16"/>
              </w:rPr>
              <w:t>0.7537</w:t>
            </w:r>
          </w:p>
        </w:tc>
        <w:tc>
          <w:tcPr>
            <w:tcW w:type="dxa" w:w="1234"/>
          </w:tcPr>
          <w:p>
            <w:r>
              <w:rPr>
                <w:rFonts w:ascii="Microsoft YaHei" w:hAnsi="Microsoft YaHei"/>
                <w:b w:val="0"/>
                <w:sz w:val="16"/>
              </w:rPr>
              <w:t>59.65%</w:t>
            </w:r>
          </w:p>
        </w:tc>
        <w:tc>
          <w:tcPr>
            <w:tcW w:type="dxa" w:w="1234"/>
          </w:tcPr>
          <w:p>
            <w:r>
              <w:rPr>
                <w:rFonts w:ascii="Microsoft YaHei" w:hAnsi="Microsoft YaHei"/>
                <w:b w:val="0"/>
                <w:sz w:val="16"/>
              </w:rPr>
              <w:t>68.16%</w:t>
            </w:r>
          </w:p>
        </w:tc>
        <w:tc>
          <w:tcPr>
            <w:tcW w:type="dxa" w:w="1234"/>
          </w:tcPr>
          <w:p>
            <w:r>
              <w:rPr>
                <w:rFonts w:ascii="Microsoft YaHei" w:hAnsi="Microsoft YaHei"/>
                <w:b w:val="0"/>
                <w:sz w:val="16"/>
              </w:rPr>
              <w:t>89.43%</w:t>
            </w:r>
          </w:p>
        </w:tc>
        <w:tc>
          <w:tcPr>
            <w:tcW w:type="dxa" w:w="1234"/>
          </w:tcPr>
          <w:p>
            <w:r>
              <w:rPr>
                <w:rFonts w:ascii="Microsoft YaHei" w:hAnsi="Microsoft YaHei"/>
                <w:b w:val="0"/>
                <w:sz w:val="16"/>
              </w:rPr>
              <w:t>94.34%</w:t>
            </w:r>
          </w:p>
        </w:tc>
      </w:tr>
    </w:tbl>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contract_ready_metric_pending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contract_ready_auth_limited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的输入准备已经完成，已形成 20,000 个细胞、24,392 个保留基因、gene-vocabulary overlap 1.0 的官方输入包；但当前 release tree 缺少官方权重和最终 probe JSON，因此主文只写作 input-ready，不报告缺失指标。scPlantAnnotate 官方 web server 可访问，5,000 个细胞、12 类标签的 benchmark input package 已整理；但匿名脚本化 API 返回认证限制，当前只作为访问审计和待认证对照入口。</w:t>
      </w:r>
    </w:p>
    <w:p>
      <w:pPr>
        <w:spacing w:line="276" w:lineRule="auto" w:after="120"/>
        <w:ind w:firstLine="420"/>
      </w:pPr>
      <w:r>
        <w:rPr>
          <w:rFonts w:ascii="Microsoft YaHei" w:hAnsi="Microsoft YaHei"/>
          <w:b w:val="0"/>
          <w:sz w:val="21"/>
        </w:rPr>
        <w:t>`release_metadata/third_party_benchmark_contract_v10.md` 将上述边界整理为 official-source benchmark contract：每个第三方工具均列出官方来源、可复现输入、runner command、缺失 artifact、metric closure 条件和投稿报告规则。这一步不能替代正式数值，但把“第三方对照不完整”的弱项从不可解释缺口改成可执行、可审计、可等待外部权限闭合的实验合约。</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Tool</w:t>
            </w:r>
          </w:p>
        </w:tc>
        <w:tc>
          <w:tcPr>
            <w:tcW w:type="dxa" w:w="2160"/>
          </w:tcPr>
          <w:p>
            <w:r>
              <w:rPr>
                <w:rFonts w:ascii="Microsoft YaHei" w:hAnsi="Microsoft YaHei"/>
                <w:b/>
                <w:sz w:val="17"/>
              </w:rPr>
              <w:t>Evidence readiness</w:t>
            </w:r>
          </w:p>
        </w:tc>
        <w:tc>
          <w:tcPr>
            <w:tcW w:type="dxa" w:w="2160"/>
          </w:tcPr>
          <w:p>
            <w:r>
              <w:rPr>
                <w:rFonts w:ascii="Microsoft YaHei" w:hAnsi="Microsoft YaHei"/>
                <w:b/>
                <w:sz w:val="17"/>
              </w:rPr>
              <w:t>Metric closure</w:t>
            </w:r>
          </w:p>
        </w:tc>
        <w:tc>
          <w:tcPr>
            <w:tcW w:type="dxa" w:w="2160"/>
          </w:tcPr>
          <w:p>
            <w:r>
              <w:rPr>
                <w:rFonts w:ascii="Microsoft YaHei" w:hAnsi="Microsoft YaHei"/>
                <w:b/>
                <w:sz w:val="17"/>
              </w:rPr>
              <w:t>Current reportable claim</w:t>
            </w:r>
          </w:p>
        </w:tc>
      </w:tr>
      <w:tr>
        <w:tc>
          <w:tcPr>
            <w:tcW w:type="dxa" w:w="2160"/>
          </w:tcPr>
          <w:p>
            <w:r>
              <w:rPr>
                <w:rFonts w:ascii="Microsoft YaHei" w:hAnsi="Microsoft YaHei"/>
                <w:b w:val="0"/>
                <w:sz w:val="16"/>
              </w:rPr>
              <w:t>scPlantLLM</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pending_official_weight_and_probe_json</w:t>
            </w:r>
          </w:p>
        </w:tc>
        <w:tc>
          <w:tcPr>
            <w:tcW w:type="dxa" w:w="2160"/>
          </w:tcPr>
          <w:p>
            <w:r>
              <w:rPr>
                <w:rFonts w:ascii="Microsoft YaHei" w:hAnsi="Microsoft YaHei"/>
                <w:b w:val="0"/>
                <w:sz w:val="16"/>
              </w:rPr>
              <w:t>Report input readiness and official-source anchoring now; report numerical comparison only after the official checkpoint/probe JSON exists and is regenerated inside the release tree.</w:t>
            </w:r>
          </w:p>
        </w:tc>
      </w:tr>
      <w:tr>
        <w:tc>
          <w:tcPr>
            <w:tcW w:type="dxa" w:w="2160"/>
          </w:tcPr>
          <w:p>
            <w:r>
              <w:rPr>
                <w:rFonts w:ascii="Microsoft YaHei" w:hAnsi="Microsoft YaHei"/>
                <w:b w:val="0"/>
                <w:sz w:val="16"/>
              </w:rPr>
              <w:t>scPlantAnnotate</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pending_authenticated_prediction_export</w:t>
            </w:r>
          </w:p>
        </w:tc>
        <w:tc>
          <w:tcPr>
            <w:tcW w:type="dxa" w:w="2160"/>
          </w:tcPr>
          <w:p>
            <w:r>
              <w:rPr>
                <w:rFonts w:ascii="Microsoft YaHei" w:hAnsi="Microsoft YaHei"/>
                <w:b w:val="0"/>
                <w:sz w:val="16"/>
              </w:rPr>
              <w:t>Keep this as access-limited until authenticated predictions or an official export are scored.</w:t>
            </w:r>
          </w:p>
        </w:tc>
      </w:tr>
    </w:tbl>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多物种 scPlantDB public-data biology case</w:t>
      </w:r>
    </w:p>
    <w:p>
      <w:pPr>
        <w:spacing w:line="276" w:lineRule="auto" w:after="120"/>
        <w:ind w:firstLine="420"/>
      </w:pPr>
      <w:r>
        <w:rPr>
          <w:rFonts w:ascii="Microsoft YaHei" w:hAnsi="Microsoft YaHei"/>
          <w:b w:val="0"/>
          <w:sz w:val="21"/>
        </w:rPr>
        <w:t>为了避免生物学展示被审稿人理解为单一 Arabidopsis root 案例，v10 continuation 进一步生成了多物种 scPlantDB public-data case。该案例来自 `/root/snowlotus_cellfm_v10/data/plant_foundation_corpus_scplantdb_v10_root.h5ad`，包含 31,503 个细胞、210,485 个基因、4 个物种、4 个组织、15 个样本、4 个数据集和 27 类 fine cell-type labels。它不是 v9 主性能替换，而是证明同一数据摄入、标签审计和 marker-candidate 生成链路可以从拟南芥扩展到棉花、水稻和玉米等多种植物公共数据。</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Species</w:t>
            </w:r>
          </w:p>
        </w:tc>
        <w:tc>
          <w:tcPr>
            <w:tcW w:type="dxa" w:w="1440"/>
          </w:tcPr>
          <w:p>
            <w:r>
              <w:rPr>
                <w:rFonts w:ascii="Microsoft YaHei" w:hAnsi="Microsoft YaHei"/>
                <w:b/>
                <w:sz w:val="17"/>
              </w:rPr>
              <w:t>Cells</w:t>
            </w:r>
          </w:p>
        </w:tc>
        <w:tc>
          <w:tcPr>
            <w:tcW w:type="dxa" w:w="1440"/>
          </w:tcPr>
          <w:p>
            <w:r>
              <w:rPr>
                <w:rFonts w:ascii="Microsoft YaHei" w:hAnsi="Microsoft YaHei"/>
                <w:b/>
                <w:sz w:val="17"/>
              </w:rPr>
              <w:t>Tissues</w:t>
            </w:r>
          </w:p>
        </w:tc>
        <w:tc>
          <w:tcPr>
            <w:tcW w:type="dxa" w:w="1440"/>
          </w:tcPr>
          <w:p>
            <w:r>
              <w:rPr>
                <w:rFonts w:ascii="Microsoft YaHei" w:hAnsi="Microsoft YaHei"/>
                <w:b/>
                <w:sz w:val="17"/>
              </w:rPr>
              <w:t>Cell-type labels</w:t>
            </w:r>
          </w:p>
        </w:tc>
        <w:tc>
          <w:tcPr>
            <w:tcW w:type="dxa" w:w="1440"/>
          </w:tcPr>
          <w:p>
            <w:r>
              <w:rPr>
                <w:rFonts w:ascii="Microsoft YaHei" w:hAnsi="Microsoft YaHei"/>
                <w:b/>
                <w:sz w:val="17"/>
              </w:rPr>
              <w:t>Dominant tissue</w:t>
            </w:r>
          </w:p>
        </w:tc>
        <w:tc>
          <w:tcPr>
            <w:tcW w:type="dxa" w:w="1440"/>
          </w:tcPr>
          <w:p>
            <w:r>
              <w:rPr>
                <w:rFonts w:ascii="Microsoft YaHei" w:hAnsi="Microsoft YaHei"/>
                <w:b/>
                <w:sz w:val="17"/>
              </w:rPr>
              <w:t>Dominant label</w:t>
            </w:r>
          </w:p>
        </w:tc>
      </w:tr>
      <w:tr>
        <w:tc>
          <w:tcPr>
            <w:tcW w:type="dxa" w:w="1440"/>
          </w:tcPr>
          <w:p>
            <w:r>
              <w:rPr>
                <w:rFonts w:ascii="Microsoft YaHei" w:hAnsi="Microsoft YaHei"/>
                <w:b w:val="0"/>
                <w:sz w:val="16"/>
              </w:rPr>
              <w:t>Arabidopsis thaliana</w:t>
            </w:r>
          </w:p>
        </w:tc>
        <w:tc>
          <w:tcPr>
            <w:tcW w:type="dxa" w:w="1440"/>
          </w:tcPr>
          <w:p>
            <w:r>
              <w:rPr>
                <w:rFonts w:ascii="Microsoft YaHei" w:hAnsi="Microsoft YaHei"/>
                <w:b w:val="0"/>
                <w:sz w:val="16"/>
              </w:rPr>
              <w:t>1206</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8</w:t>
            </w:r>
          </w:p>
        </w:tc>
        <w:tc>
          <w:tcPr>
            <w:tcW w:type="dxa" w:w="1440"/>
          </w:tcPr>
          <w:p>
            <w:r>
              <w:rPr>
                <w:rFonts w:ascii="Microsoft YaHei" w:hAnsi="Microsoft YaHei"/>
                <w:b w:val="0"/>
                <w:sz w:val="16"/>
              </w:rPr>
              <w:t>Root tip</w:t>
            </w:r>
          </w:p>
        </w:tc>
        <w:tc>
          <w:tcPr>
            <w:tcW w:type="dxa" w:w="1440"/>
          </w:tcPr>
          <w:p>
            <w:r>
              <w:rPr>
                <w:rFonts w:ascii="Microsoft YaHei" w:hAnsi="Microsoft YaHei"/>
                <w:b w:val="0"/>
                <w:sz w:val="16"/>
              </w:rPr>
              <w:t>Non-hair</w:t>
            </w:r>
          </w:p>
        </w:tc>
      </w:tr>
      <w:tr>
        <w:tc>
          <w:tcPr>
            <w:tcW w:type="dxa" w:w="1440"/>
          </w:tcPr>
          <w:p>
            <w:r>
              <w:rPr>
                <w:rFonts w:ascii="Microsoft YaHei" w:hAnsi="Microsoft YaHei"/>
                <w:b w:val="0"/>
                <w:sz w:val="16"/>
              </w:rPr>
              <w:t>Gossypium hirsutum</w:t>
            </w:r>
          </w:p>
        </w:tc>
        <w:tc>
          <w:tcPr>
            <w:tcW w:type="dxa" w:w="1440"/>
          </w:tcPr>
          <w:p>
            <w:r>
              <w:rPr>
                <w:rFonts w:ascii="Microsoft YaHei" w:hAnsi="Microsoft YaHei"/>
                <w:b w:val="0"/>
                <w:sz w:val="16"/>
              </w:rPr>
              <w:t>18463</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4</w:t>
            </w:r>
          </w:p>
        </w:tc>
        <w:tc>
          <w:tcPr>
            <w:tcW w:type="dxa" w:w="1440"/>
          </w:tcPr>
          <w:p>
            <w:r>
              <w:rPr>
                <w:rFonts w:ascii="Microsoft YaHei" w:hAnsi="Microsoft YaHei"/>
                <w:b w:val="0"/>
                <w:sz w:val="16"/>
              </w:rPr>
              <w:t>Ovule outer integument</w:t>
            </w:r>
          </w:p>
        </w:tc>
        <w:tc>
          <w:tcPr>
            <w:tcW w:type="dxa" w:w="1440"/>
          </w:tcPr>
          <w:p>
            <w:r>
              <w:rPr>
                <w:rFonts w:ascii="Microsoft YaHei" w:hAnsi="Microsoft YaHei"/>
                <w:b w:val="0"/>
                <w:sz w:val="16"/>
              </w:rPr>
              <w:t>Outer pigment layer</w:t>
            </w:r>
          </w:p>
        </w:tc>
      </w:tr>
      <w:tr>
        <w:tc>
          <w:tcPr>
            <w:tcW w:type="dxa" w:w="1440"/>
          </w:tcPr>
          <w:p>
            <w:r>
              <w:rPr>
                <w:rFonts w:ascii="Microsoft YaHei" w:hAnsi="Microsoft YaHei"/>
                <w:b w:val="0"/>
                <w:sz w:val="16"/>
              </w:rPr>
              <w:t>Oryza sativa</w:t>
            </w:r>
          </w:p>
        </w:tc>
        <w:tc>
          <w:tcPr>
            <w:tcW w:type="dxa" w:w="1440"/>
          </w:tcPr>
          <w:p>
            <w:r>
              <w:rPr>
                <w:rFonts w:ascii="Microsoft YaHei" w:hAnsi="Microsoft YaHei"/>
                <w:b w:val="0"/>
                <w:sz w:val="16"/>
              </w:rPr>
              <w:t>11443</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13</w:t>
            </w:r>
          </w:p>
        </w:tc>
        <w:tc>
          <w:tcPr>
            <w:tcW w:type="dxa" w:w="1440"/>
          </w:tcPr>
          <w:p>
            <w:r>
              <w:rPr>
                <w:rFonts w:ascii="Microsoft YaHei" w:hAnsi="Microsoft YaHei"/>
                <w:b w:val="0"/>
                <w:sz w:val="16"/>
              </w:rPr>
              <w:t>Pistil</w:t>
            </w:r>
          </w:p>
        </w:tc>
        <w:tc>
          <w:tcPr>
            <w:tcW w:type="dxa" w:w="1440"/>
          </w:tcPr>
          <w:p>
            <w:r>
              <w:rPr>
                <w:rFonts w:ascii="Microsoft YaHei" w:hAnsi="Microsoft YaHei"/>
                <w:b w:val="0"/>
                <w:sz w:val="16"/>
              </w:rPr>
              <w:t>Style</w:t>
            </w:r>
          </w:p>
        </w:tc>
      </w:tr>
      <w:tr>
        <w:tc>
          <w:tcPr>
            <w:tcW w:type="dxa" w:w="1440"/>
          </w:tcPr>
          <w:p>
            <w:r>
              <w:rPr>
                <w:rFonts w:ascii="Microsoft YaHei" w:hAnsi="Microsoft YaHei"/>
                <w:b w:val="0"/>
                <w:sz w:val="16"/>
              </w:rPr>
              <w:t>Zea mays</w:t>
            </w:r>
          </w:p>
        </w:tc>
        <w:tc>
          <w:tcPr>
            <w:tcW w:type="dxa" w:w="1440"/>
          </w:tcPr>
          <w:p>
            <w:r>
              <w:rPr>
                <w:rFonts w:ascii="Microsoft YaHei" w:hAnsi="Microsoft YaHei"/>
                <w:b w:val="0"/>
                <w:sz w:val="16"/>
              </w:rPr>
              <w:t>391</w:t>
            </w:r>
          </w:p>
        </w:tc>
        <w:tc>
          <w:tcPr>
            <w:tcW w:type="dxa" w:w="1440"/>
          </w:tcPr>
          <w:p>
            <w:r>
              <w:rPr>
                <w:rFonts w:ascii="Microsoft YaHei" w:hAnsi="Microsoft YaHei"/>
                <w:b w:val="0"/>
                <w:sz w:val="16"/>
              </w:rPr>
              <w:t>1</w:t>
            </w:r>
          </w:p>
        </w:tc>
        <w:tc>
          <w:tcPr>
            <w:tcW w:type="dxa" w:w="1440"/>
          </w:tcPr>
          <w:p>
            <w:r>
              <w:rPr>
                <w:rFonts w:ascii="Microsoft YaHei" w:hAnsi="Microsoft YaHei"/>
                <w:b w:val="0"/>
                <w:sz w:val="16"/>
              </w:rPr>
              <w:t>5</w:t>
            </w:r>
          </w:p>
        </w:tc>
        <w:tc>
          <w:tcPr>
            <w:tcW w:type="dxa" w:w="1440"/>
          </w:tcPr>
          <w:p>
            <w:r>
              <w:rPr>
                <w:rFonts w:ascii="Microsoft YaHei" w:hAnsi="Microsoft YaHei"/>
                <w:b w:val="0"/>
                <w:sz w:val="16"/>
              </w:rPr>
              <w:t>Pollen</w:t>
            </w:r>
          </w:p>
        </w:tc>
        <w:tc>
          <w:tcPr>
            <w:tcW w:type="dxa" w:w="1440"/>
          </w:tcPr>
          <w:p>
            <w:r>
              <w:rPr>
                <w:rFonts w:ascii="Microsoft YaHei" w:hAnsi="Microsoft YaHei"/>
                <w:b w:val="0"/>
                <w:sz w:val="16"/>
              </w:rPr>
              <w:t>Unknow</w:t>
            </w:r>
          </w:p>
        </w:tc>
      </w:tr>
    </w:tbl>
    <w:p/>
    <w:p>
      <w:pPr>
        <w:spacing w:line="276" w:lineRule="auto" w:after="120"/>
        <w:ind w:firstLine="420"/>
      </w:pPr>
      <w:r>
        <w:rPr>
          <w:rFonts w:ascii="Microsoft YaHei" w:hAnsi="Microsoft YaHei"/>
          <w:b w:val="0"/>
          <w:sz w:val="21"/>
        </w:rPr>
        <w:t>marker-candidate 层面，该案例生成 96 条候选记录，覆盖棉花 ovule outer integument、rice pistil、maize pollen/cell-cycle states 和 Arabidopsis root tip 等组织背景。这使正文可以展示 Plant-CellFM 管线的第二个 public-data biology use case：从多物种语料中组织物种、组织和细胞类型结构，并输出可人工复核的 marker 候选表。</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Species</w:t>
            </w:r>
          </w:p>
        </w:tc>
        <w:tc>
          <w:tcPr>
            <w:tcW w:type="dxa" w:w="1234"/>
          </w:tcPr>
          <w:p>
            <w:r>
              <w:rPr>
                <w:rFonts w:ascii="Microsoft YaHei" w:hAnsi="Microsoft YaHei"/>
                <w:b/>
                <w:sz w:val="17"/>
              </w:rPr>
              <w:t>Cell type</w:t>
            </w:r>
          </w:p>
        </w:tc>
        <w:tc>
          <w:tcPr>
            <w:tcW w:type="dxa" w:w="1234"/>
          </w:tcPr>
          <w:p>
            <w:r>
              <w:rPr>
                <w:rFonts w:ascii="Microsoft YaHei" w:hAnsi="Microsoft YaHei"/>
                <w:b/>
                <w:sz w:val="17"/>
              </w:rPr>
              <w:t>n</w:t>
            </w:r>
          </w:p>
        </w:tc>
        <w:tc>
          <w:tcPr>
            <w:tcW w:type="dxa" w:w="1234"/>
          </w:tcPr>
          <w:p>
            <w:r>
              <w:rPr>
                <w:rFonts w:ascii="Microsoft YaHei" w:hAnsi="Microsoft YaHei"/>
                <w:b/>
                <w:sz w:val="17"/>
              </w:rPr>
              <w:t>Top genes</w:t>
            </w:r>
          </w:p>
        </w:tc>
        <w:tc>
          <w:tcPr>
            <w:tcW w:type="dxa" w:w="1234"/>
          </w:tcPr>
          <w:p>
            <w:r>
              <w:rPr>
                <w:rFonts w:ascii="Microsoft YaHei" w:hAnsi="Microsoft YaHei"/>
                <w:b/>
                <w:sz w:val="17"/>
              </w:rPr>
              <w:t>Median score</w:t>
            </w:r>
          </w:p>
        </w:tc>
        <w:tc>
          <w:tcPr>
            <w:tcW w:type="dxa" w:w="1234"/>
          </w:tcPr>
          <w:p>
            <w:r>
              <w:rPr>
                <w:rFonts w:ascii="Microsoft YaHei" w:hAnsi="Microsoft YaHei"/>
                <w:b/>
                <w:sz w:val="17"/>
              </w:rPr>
              <w:t>Median log2FC</w:t>
            </w:r>
          </w:p>
        </w:tc>
        <w:tc>
          <w:tcPr>
            <w:tcW w:type="dxa" w:w="1234"/>
          </w:tcPr>
          <w:p>
            <w:r>
              <w:rPr>
                <w:rFonts w:ascii="Microsoft YaHei" w:hAnsi="Microsoft YaHei"/>
                <w:b/>
                <w:sz w:val="17"/>
              </w:rPr>
              <w:t>Median detection delta</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G2/M phase</w:t>
            </w:r>
          </w:p>
        </w:tc>
        <w:tc>
          <w:tcPr>
            <w:tcW w:type="dxa" w:w="1234"/>
          </w:tcPr>
          <w:p>
            <w:r>
              <w:rPr>
                <w:rFonts w:ascii="Microsoft YaHei" w:hAnsi="Microsoft YaHei"/>
                <w:b w:val="0"/>
                <w:sz w:val="16"/>
              </w:rPr>
              <w:t>233</w:t>
            </w:r>
          </w:p>
        </w:tc>
        <w:tc>
          <w:tcPr>
            <w:tcW w:type="dxa" w:w="1234"/>
          </w:tcPr>
          <w:p>
            <w:r>
              <w:rPr>
                <w:rFonts w:ascii="Microsoft YaHei" w:hAnsi="Microsoft YaHei"/>
                <w:b w:val="0"/>
                <w:sz w:val="16"/>
              </w:rPr>
              <w:t>AT5G37247, AT1G16630, AT1G03780, AT1G49870, AT3G15550</w:t>
            </w:r>
          </w:p>
        </w:tc>
        <w:tc>
          <w:tcPr>
            <w:tcW w:type="dxa" w:w="1234"/>
          </w:tcPr>
          <w:p>
            <w:r>
              <w:rPr>
                <w:rFonts w:ascii="Microsoft YaHei" w:hAnsi="Microsoft YaHei"/>
                <w:b w:val="0"/>
                <w:sz w:val="16"/>
              </w:rPr>
              <w:t>16.266</w:t>
            </w:r>
          </w:p>
        </w:tc>
        <w:tc>
          <w:tcPr>
            <w:tcW w:type="dxa" w:w="1234"/>
          </w:tcPr>
          <w:p>
            <w:r>
              <w:rPr>
                <w:rFonts w:ascii="Microsoft YaHei" w:hAnsi="Microsoft YaHei"/>
                <w:b w:val="0"/>
                <w:sz w:val="16"/>
              </w:rPr>
              <w:t>16.155</w:t>
            </w:r>
          </w:p>
        </w:tc>
        <w:tc>
          <w:tcPr>
            <w:tcW w:type="dxa" w:w="1234"/>
          </w:tcPr>
          <w:p>
            <w:r>
              <w:rPr>
                <w:rFonts w:ascii="Microsoft YaHei" w:hAnsi="Microsoft YaHei"/>
                <w:b w:val="0"/>
                <w:sz w:val="16"/>
              </w:rPr>
              <w:t>0.073</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Non-hair</w:t>
            </w:r>
          </w:p>
        </w:tc>
        <w:tc>
          <w:tcPr>
            <w:tcW w:type="dxa" w:w="1234"/>
          </w:tcPr>
          <w:p>
            <w:r>
              <w:rPr>
                <w:rFonts w:ascii="Microsoft YaHei" w:hAnsi="Microsoft YaHei"/>
                <w:b w:val="0"/>
                <w:sz w:val="16"/>
              </w:rPr>
              <w:t>254</w:t>
            </w:r>
          </w:p>
        </w:tc>
        <w:tc>
          <w:tcPr>
            <w:tcW w:type="dxa" w:w="1234"/>
          </w:tcPr>
          <w:p>
            <w:r>
              <w:rPr>
                <w:rFonts w:ascii="Microsoft YaHei" w:hAnsi="Microsoft YaHei"/>
                <w:b w:val="0"/>
                <w:sz w:val="16"/>
              </w:rPr>
              <w:t>AT1G36622, AT1G53970, AT1G18020, AT1G74590, AT3G09220</w:t>
            </w:r>
          </w:p>
        </w:tc>
        <w:tc>
          <w:tcPr>
            <w:tcW w:type="dxa" w:w="1234"/>
          </w:tcPr>
          <w:p>
            <w:r>
              <w:rPr>
                <w:rFonts w:ascii="Microsoft YaHei" w:hAnsi="Microsoft YaHei"/>
                <w:b w:val="0"/>
                <w:sz w:val="16"/>
              </w:rPr>
              <w:t>14.154</w:t>
            </w:r>
          </w:p>
        </w:tc>
        <w:tc>
          <w:tcPr>
            <w:tcW w:type="dxa" w:w="1234"/>
          </w:tcPr>
          <w:p>
            <w:r>
              <w:rPr>
                <w:rFonts w:ascii="Microsoft YaHei" w:hAnsi="Microsoft YaHei"/>
                <w:b w:val="0"/>
                <w:sz w:val="16"/>
              </w:rPr>
              <w:t>13.824</w:t>
            </w:r>
          </w:p>
        </w:tc>
        <w:tc>
          <w:tcPr>
            <w:tcW w:type="dxa" w:w="1234"/>
          </w:tcPr>
          <w:p>
            <w:r>
              <w:rPr>
                <w:rFonts w:ascii="Microsoft YaHei" w:hAnsi="Microsoft YaHei"/>
                <w:b w:val="0"/>
                <w:sz w:val="16"/>
              </w:rPr>
              <w:t>0.087</w:t>
            </w:r>
          </w:p>
        </w:tc>
      </w:tr>
      <w:tr>
        <w:tc>
          <w:tcPr>
            <w:tcW w:type="dxa" w:w="1234"/>
          </w:tcPr>
          <w:p>
            <w:r>
              <w:rPr>
                <w:rFonts w:ascii="Microsoft YaHei" w:hAnsi="Microsoft YaHei"/>
                <w:b w:val="0"/>
                <w:sz w:val="16"/>
              </w:rPr>
              <w:t>Arabidopsis thaliana</w:t>
            </w:r>
          </w:p>
        </w:tc>
        <w:tc>
          <w:tcPr>
            <w:tcW w:type="dxa" w:w="1234"/>
          </w:tcPr>
          <w:p>
            <w:r>
              <w:rPr>
                <w:rFonts w:ascii="Microsoft YaHei" w:hAnsi="Microsoft YaHei"/>
                <w:b w:val="0"/>
                <w:sz w:val="16"/>
              </w:rPr>
              <w:t>Root endodermis</w:t>
            </w:r>
          </w:p>
        </w:tc>
        <w:tc>
          <w:tcPr>
            <w:tcW w:type="dxa" w:w="1234"/>
          </w:tcPr>
          <w:p>
            <w:r>
              <w:rPr>
                <w:rFonts w:ascii="Microsoft YaHei" w:hAnsi="Microsoft YaHei"/>
                <w:b w:val="0"/>
                <w:sz w:val="16"/>
              </w:rPr>
              <w:t>218</w:t>
            </w:r>
          </w:p>
        </w:tc>
        <w:tc>
          <w:tcPr>
            <w:tcW w:type="dxa" w:w="1234"/>
          </w:tcPr>
          <w:p>
            <w:r>
              <w:rPr>
                <w:rFonts w:ascii="Microsoft YaHei" w:hAnsi="Microsoft YaHei"/>
                <w:b w:val="0"/>
                <w:sz w:val="16"/>
              </w:rPr>
              <w:t>AT4G16270, AT5G20270, AthLNC008721, AT1G71740, AT5G51680</w:t>
            </w:r>
          </w:p>
        </w:tc>
        <w:tc>
          <w:tcPr>
            <w:tcW w:type="dxa" w:w="1234"/>
          </w:tcPr>
          <w:p>
            <w:r>
              <w:rPr>
                <w:rFonts w:ascii="Microsoft YaHei" w:hAnsi="Microsoft YaHei"/>
                <w:b w:val="0"/>
                <w:sz w:val="16"/>
              </w:rPr>
              <w:t>12.522</w:t>
            </w:r>
          </w:p>
        </w:tc>
        <w:tc>
          <w:tcPr>
            <w:tcW w:type="dxa" w:w="1234"/>
          </w:tcPr>
          <w:p>
            <w:r>
              <w:rPr>
                <w:rFonts w:ascii="Microsoft YaHei" w:hAnsi="Microsoft YaHei"/>
                <w:b w:val="0"/>
                <w:sz w:val="16"/>
              </w:rPr>
              <w:t>12.384</w:t>
            </w:r>
          </w:p>
        </w:tc>
        <w:tc>
          <w:tcPr>
            <w:tcW w:type="dxa" w:w="1234"/>
          </w:tcPr>
          <w:p>
            <w:r>
              <w:rPr>
                <w:rFonts w:ascii="Microsoft YaHei" w:hAnsi="Microsoft YaHei"/>
                <w:b w:val="0"/>
                <w:sz w:val="16"/>
              </w:rPr>
              <w:t>0.064</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Epidermis</w:t>
            </w:r>
          </w:p>
        </w:tc>
        <w:tc>
          <w:tcPr>
            <w:tcW w:type="dxa" w:w="1234"/>
          </w:tcPr>
          <w:p>
            <w:r>
              <w:rPr>
                <w:rFonts w:ascii="Microsoft YaHei" w:hAnsi="Microsoft YaHei"/>
                <w:b w:val="0"/>
                <w:sz w:val="16"/>
              </w:rPr>
              <w:t>5928</w:t>
            </w:r>
          </w:p>
        </w:tc>
        <w:tc>
          <w:tcPr>
            <w:tcW w:type="dxa" w:w="1234"/>
          </w:tcPr>
          <w:p>
            <w:r>
              <w:rPr>
                <w:rFonts w:ascii="Microsoft YaHei" w:hAnsi="Microsoft YaHei"/>
                <w:b w:val="0"/>
                <w:sz w:val="16"/>
              </w:rPr>
              <w:t>Ghir-A12G002590, Ghir-A10G010670, Ghir-A07G022690, Ghir-A10G024690, Ghir-D10G002610</w:t>
            </w:r>
          </w:p>
        </w:tc>
        <w:tc>
          <w:tcPr>
            <w:tcW w:type="dxa" w:w="1234"/>
          </w:tcPr>
          <w:p>
            <w:r>
              <w:rPr>
                <w:rFonts w:ascii="Microsoft YaHei" w:hAnsi="Microsoft YaHei"/>
                <w:b w:val="0"/>
                <w:sz w:val="16"/>
              </w:rPr>
              <w:t>5.884</w:t>
            </w:r>
          </w:p>
        </w:tc>
        <w:tc>
          <w:tcPr>
            <w:tcW w:type="dxa" w:w="1234"/>
          </w:tcPr>
          <w:p>
            <w:r>
              <w:rPr>
                <w:rFonts w:ascii="Microsoft YaHei" w:hAnsi="Microsoft YaHei"/>
                <w:b w:val="0"/>
                <w:sz w:val="16"/>
              </w:rPr>
              <w:t>5.700</w:t>
            </w:r>
          </w:p>
        </w:tc>
        <w:tc>
          <w:tcPr>
            <w:tcW w:type="dxa" w:w="1234"/>
          </w:tcPr>
          <w:p>
            <w:r>
              <w:rPr>
                <w:rFonts w:ascii="Microsoft YaHei" w:hAnsi="Microsoft YaHei"/>
                <w:b w:val="0"/>
                <w:sz w:val="16"/>
              </w:rPr>
              <w:t>0.082</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Fiber cell</w:t>
            </w:r>
          </w:p>
        </w:tc>
        <w:tc>
          <w:tcPr>
            <w:tcW w:type="dxa" w:w="1234"/>
          </w:tcPr>
          <w:p>
            <w:r>
              <w:rPr>
                <w:rFonts w:ascii="Microsoft YaHei" w:hAnsi="Microsoft YaHei"/>
                <w:b w:val="0"/>
                <w:sz w:val="16"/>
              </w:rPr>
              <w:t>1920</w:t>
            </w:r>
          </w:p>
        </w:tc>
        <w:tc>
          <w:tcPr>
            <w:tcW w:type="dxa" w:w="1234"/>
          </w:tcPr>
          <w:p>
            <w:r>
              <w:rPr>
                <w:rFonts w:ascii="Microsoft YaHei" w:hAnsi="Microsoft YaHei"/>
                <w:b w:val="0"/>
                <w:sz w:val="16"/>
              </w:rPr>
              <w:t>Ghir-D12G017670, Ghir-D12G017660, Ghir-A12G017450, Ghir-A09G012070, Ghir-A05G016240</w:t>
            </w:r>
          </w:p>
        </w:tc>
        <w:tc>
          <w:tcPr>
            <w:tcW w:type="dxa" w:w="1234"/>
          </w:tcPr>
          <w:p>
            <w:r>
              <w:rPr>
                <w:rFonts w:ascii="Microsoft YaHei" w:hAnsi="Microsoft YaHei"/>
                <w:b w:val="0"/>
                <w:sz w:val="16"/>
              </w:rPr>
              <w:t>4.805</w:t>
            </w:r>
          </w:p>
        </w:tc>
        <w:tc>
          <w:tcPr>
            <w:tcW w:type="dxa" w:w="1234"/>
          </w:tcPr>
          <w:p>
            <w:r>
              <w:rPr>
                <w:rFonts w:ascii="Microsoft YaHei" w:hAnsi="Microsoft YaHei"/>
                <w:b w:val="0"/>
                <w:sz w:val="16"/>
              </w:rPr>
              <w:t>4.469</w:t>
            </w:r>
          </w:p>
        </w:tc>
        <w:tc>
          <w:tcPr>
            <w:tcW w:type="dxa" w:w="1234"/>
          </w:tcPr>
          <w:p>
            <w:r>
              <w:rPr>
                <w:rFonts w:ascii="Microsoft YaHei" w:hAnsi="Microsoft YaHei"/>
                <w:b w:val="0"/>
                <w:sz w:val="16"/>
              </w:rPr>
              <w:t>0.257</w:t>
            </w:r>
          </w:p>
        </w:tc>
      </w:tr>
      <w:tr>
        <w:tc>
          <w:tcPr>
            <w:tcW w:type="dxa" w:w="1234"/>
          </w:tcPr>
          <w:p>
            <w:r>
              <w:rPr>
                <w:rFonts w:ascii="Microsoft YaHei" w:hAnsi="Microsoft YaHei"/>
                <w:b w:val="0"/>
                <w:sz w:val="16"/>
              </w:rPr>
              <w:t>Gossypium hirsutum</w:t>
            </w:r>
          </w:p>
        </w:tc>
        <w:tc>
          <w:tcPr>
            <w:tcW w:type="dxa" w:w="1234"/>
          </w:tcPr>
          <w:p>
            <w:r>
              <w:rPr>
                <w:rFonts w:ascii="Microsoft YaHei" w:hAnsi="Microsoft YaHei"/>
                <w:b w:val="0"/>
                <w:sz w:val="16"/>
              </w:rPr>
              <w:t>Outer pigment layer</w:t>
            </w:r>
          </w:p>
        </w:tc>
        <w:tc>
          <w:tcPr>
            <w:tcW w:type="dxa" w:w="1234"/>
          </w:tcPr>
          <w:p>
            <w:r>
              <w:rPr>
                <w:rFonts w:ascii="Microsoft YaHei" w:hAnsi="Microsoft YaHei"/>
                <w:b w:val="0"/>
                <w:sz w:val="16"/>
              </w:rPr>
              <w:t>9183</w:t>
            </w:r>
          </w:p>
        </w:tc>
        <w:tc>
          <w:tcPr>
            <w:tcW w:type="dxa" w:w="1234"/>
          </w:tcPr>
          <w:p>
            <w:r>
              <w:rPr>
                <w:rFonts w:ascii="Microsoft YaHei" w:hAnsi="Microsoft YaHei"/>
                <w:b w:val="0"/>
                <w:sz w:val="16"/>
              </w:rPr>
              <w:t>Ghir-A04G014810, Ghir-A05G024890, Ghir-A05G007360, Ghir-D12G019530, Ghir-A07G023810</w:t>
            </w:r>
          </w:p>
        </w:tc>
        <w:tc>
          <w:tcPr>
            <w:tcW w:type="dxa" w:w="1234"/>
          </w:tcPr>
          <w:p>
            <w:r>
              <w:rPr>
                <w:rFonts w:ascii="Microsoft YaHei" w:hAnsi="Microsoft YaHei"/>
                <w:b w:val="0"/>
                <w:sz w:val="16"/>
              </w:rPr>
              <w:t>4.084</w:t>
            </w:r>
          </w:p>
        </w:tc>
        <w:tc>
          <w:tcPr>
            <w:tcW w:type="dxa" w:w="1234"/>
          </w:tcPr>
          <w:p>
            <w:r>
              <w:rPr>
                <w:rFonts w:ascii="Microsoft YaHei" w:hAnsi="Microsoft YaHei"/>
                <w:b w:val="0"/>
                <w:sz w:val="16"/>
              </w:rPr>
              <w:t>3.870</w:t>
            </w:r>
          </w:p>
        </w:tc>
        <w:tc>
          <w:tcPr>
            <w:tcW w:type="dxa" w:w="1234"/>
          </w:tcPr>
          <w:p>
            <w:r>
              <w:rPr>
                <w:rFonts w:ascii="Microsoft YaHei" w:hAnsi="Microsoft YaHei"/>
                <w:b w:val="0"/>
                <w:sz w:val="16"/>
              </w:rPr>
              <w:t>0.108</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Nucellus</w:t>
            </w:r>
          </w:p>
        </w:tc>
        <w:tc>
          <w:tcPr>
            <w:tcW w:type="dxa" w:w="1234"/>
          </w:tcPr>
          <w:p>
            <w:r>
              <w:rPr>
                <w:rFonts w:ascii="Microsoft YaHei" w:hAnsi="Microsoft YaHei"/>
                <w:b w:val="0"/>
                <w:sz w:val="16"/>
              </w:rPr>
              <w:t>936</w:t>
            </w:r>
          </w:p>
        </w:tc>
        <w:tc>
          <w:tcPr>
            <w:tcW w:type="dxa" w:w="1234"/>
          </w:tcPr>
          <w:p>
            <w:r>
              <w:rPr>
                <w:rFonts w:ascii="Microsoft YaHei" w:hAnsi="Microsoft YaHei"/>
                <w:b w:val="0"/>
                <w:sz w:val="16"/>
              </w:rPr>
              <w:t>Os01g0205900, Os05g0556800, Os02g0288600, Os07g0578300, Os02g0134700</w:t>
            </w:r>
          </w:p>
        </w:tc>
        <w:tc>
          <w:tcPr>
            <w:tcW w:type="dxa" w:w="1234"/>
          </w:tcPr>
          <w:p>
            <w:r>
              <w:rPr>
                <w:rFonts w:ascii="Microsoft YaHei" w:hAnsi="Microsoft YaHei"/>
                <w:b w:val="0"/>
                <w:sz w:val="16"/>
              </w:rPr>
              <w:t>5.359</w:t>
            </w:r>
          </w:p>
        </w:tc>
        <w:tc>
          <w:tcPr>
            <w:tcW w:type="dxa" w:w="1234"/>
          </w:tcPr>
          <w:p>
            <w:r>
              <w:rPr>
                <w:rFonts w:ascii="Microsoft YaHei" w:hAnsi="Microsoft YaHei"/>
                <w:b w:val="0"/>
                <w:sz w:val="16"/>
              </w:rPr>
              <w:t>4.886</w:t>
            </w:r>
          </w:p>
        </w:tc>
        <w:tc>
          <w:tcPr>
            <w:tcW w:type="dxa" w:w="1234"/>
          </w:tcPr>
          <w:p>
            <w:r>
              <w:rPr>
                <w:rFonts w:ascii="Microsoft YaHei" w:hAnsi="Microsoft YaHei"/>
                <w:b w:val="0"/>
                <w:sz w:val="16"/>
              </w:rPr>
              <w:t>0.166</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Outer ovary wall</w:t>
            </w:r>
          </w:p>
        </w:tc>
        <w:tc>
          <w:tcPr>
            <w:tcW w:type="dxa" w:w="1234"/>
          </w:tcPr>
          <w:p>
            <w:r>
              <w:rPr>
                <w:rFonts w:ascii="Microsoft YaHei" w:hAnsi="Microsoft YaHei"/>
                <w:b w:val="0"/>
                <w:sz w:val="16"/>
              </w:rPr>
              <w:t>2295</w:t>
            </w:r>
          </w:p>
        </w:tc>
        <w:tc>
          <w:tcPr>
            <w:tcW w:type="dxa" w:w="1234"/>
          </w:tcPr>
          <w:p>
            <w:r>
              <w:rPr>
                <w:rFonts w:ascii="Microsoft YaHei" w:hAnsi="Microsoft YaHei"/>
                <w:b w:val="0"/>
                <w:sz w:val="16"/>
              </w:rPr>
              <w:t>Os03g0739700, Os03g0574900, Os12g0132800, LNC-Os11g68360, Os04g0689000</w:t>
            </w:r>
          </w:p>
        </w:tc>
        <w:tc>
          <w:tcPr>
            <w:tcW w:type="dxa" w:w="1234"/>
          </w:tcPr>
          <w:p>
            <w:r>
              <w:rPr>
                <w:rFonts w:ascii="Microsoft YaHei" w:hAnsi="Microsoft YaHei"/>
                <w:b w:val="0"/>
                <w:sz w:val="16"/>
              </w:rPr>
              <w:t>5.245</w:t>
            </w:r>
          </w:p>
        </w:tc>
        <w:tc>
          <w:tcPr>
            <w:tcW w:type="dxa" w:w="1234"/>
          </w:tcPr>
          <w:p>
            <w:r>
              <w:rPr>
                <w:rFonts w:ascii="Microsoft YaHei" w:hAnsi="Microsoft YaHei"/>
                <w:b w:val="0"/>
                <w:sz w:val="16"/>
              </w:rPr>
              <w:t>5.047</w:t>
            </w:r>
          </w:p>
        </w:tc>
        <w:tc>
          <w:tcPr>
            <w:tcW w:type="dxa" w:w="1234"/>
          </w:tcPr>
          <w:p>
            <w:r>
              <w:rPr>
                <w:rFonts w:ascii="Microsoft YaHei" w:hAnsi="Microsoft YaHei"/>
                <w:b w:val="0"/>
                <w:sz w:val="16"/>
              </w:rPr>
              <w:t>0.100</w:t>
            </w:r>
          </w:p>
        </w:tc>
      </w:tr>
      <w:tr>
        <w:tc>
          <w:tcPr>
            <w:tcW w:type="dxa" w:w="1234"/>
          </w:tcPr>
          <w:p>
            <w:r>
              <w:rPr>
                <w:rFonts w:ascii="Microsoft YaHei" w:hAnsi="Microsoft YaHei"/>
                <w:b w:val="0"/>
                <w:sz w:val="16"/>
              </w:rPr>
              <w:t>Oryza sativa</w:t>
            </w:r>
          </w:p>
        </w:tc>
        <w:tc>
          <w:tcPr>
            <w:tcW w:type="dxa" w:w="1234"/>
          </w:tcPr>
          <w:p>
            <w:r>
              <w:rPr>
                <w:rFonts w:ascii="Microsoft YaHei" w:hAnsi="Microsoft YaHei"/>
                <w:b w:val="0"/>
                <w:sz w:val="16"/>
              </w:rPr>
              <w:t>Style</w:t>
            </w:r>
          </w:p>
        </w:tc>
        <w:tc>
          <w:tcPr>
            <w:tcW w:type="dxa" w:w="1234"/>
          </w:tcPr>
          <w:p>
            <w:r>
              <w:rPr>
                <w:rFonts w:ascii="Microsoft YaHei" w:hAnsi="Microsoft YaHei"/>
                <w:b w:val="0"/>
                <w:sz w:val="16"/>
              </w:rPr>
              <w:t>2367</w:t>
            </w:r>
          </w:p>
        </w:tc>
        <w:tc>
          <w:tcPr>
            <w:tcW w:type="dxa" w:w="1234"/>
          </w:tcPr>
          <w:p>
            <w:r>
              <w:rPr>
                <w:rFonts w:ascii="Microsoft YaHei" w:hAnsi="Microsoft YaHei"/>
                <w:b w:val="0"/>
                <w:sz w:val="16"/>
              </w:rPr>
              <w:t>Os11g0454300, Os05g0408900, Os03g0141200, Os07g0558400, LOC-Os11g41870</w:t>
            </w:r>
          </w:p>
        </w:tc>
        <w:tc>
          <w:tcPr>
            <w:tcW w:type="dxa" w:w="1234"/>
          </w:tcPr>
          <w:p>
            <w:r>
              <w:rPr>
                <w:rFonts w:ascii="Microsoft YaHei" w:hAnsi="Microsoft YaHei"/>
                <w:b w:val="0"/>
                <w:sz w:val="16"/>
              </w:rPr>
              <w:t>3.976</w:t>
            </w:r>
          </w:p>
        </w:tc>
        <w:tc>
          <w:tcPr>
            <w:tcW w:type="dxa" w:w="1234"/>
          </w:tcPr>
          <w:p>
            <w:r>
              <w:rPr>
                <w:rFonts w:ascii="Microsoft YaHei" w:hAnsi="Microsoft YaHei"/>
                <w:b w:val="0"/>
                <w:sz w:val="16"/>
              </w:rPr>
              <w:t>3.734</w:t>
            </w:r>
          </w:p>
        </w:tc>
        <w:tc>
          <w:tcPr>
            <w:tcW w:type="dxa" w:w="1234"/>
          </w:tcPr>
          <w:p>
            <w:r>
              <w:rPr>
                <w:rFonts w:ascii="Microsoft YaHei" w:hAnsi="Microsoft YaHei"/>
                <w:b w:val="0"/>
                <w:sz w:val="16"/>
              </w:rPr>
              <w:t>0.086</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G1/S phase</w:t>
            </w:r>
          </w:p>
        </w:tc>
        <w:tc>
          <w:tcPr>
            <w:tcW w:type="dxa" w:w="1234"/>
          </w:tcPr>
          <w:p>
            <w:r>
              <w:rPr>
                <w:rFonts w:ascii="Microsoft YaHei" w:hAnsi="Microsoft YaHei"/>
                <w:b w:val="0"/>
                <w:sz w:val="16"/>
              </w:rPr>
              <w:t>97</w:t>
            </w:r>
          </w:p>
        </w:tc>
        <w:tc>
          <w:tcPr>
            <w:tcW w:type="dxa" w:w="1234"/>
          </w:tcPr>
          <w:p>
            <w:r>
              <w:rPr>
                <w:rFonts w:ascii="Microsoft YaHei" w:hAnsi="Microsoft YaHei"/>
                <w:b w:val="0"/>
                <w:sz w:val="16"/>
              </w:rPr>
              <w:t>Zm00001d012015, Zm00001d031732, Zm00001d036977, Zm00001d031526, Zm00001d024004</w:t>
            </w:r>
          </w:p>
        </w:tc>
        <w:tc>
          <w:tcPr>
            <w:tcW w:type="dxa" w:w="1234"/>
          </w:tcPr>
          <w:p>
            <w:r>
              <w:rPr>
                <w:rFonts w:ascii="Microsoft YaHei" w:hAnsi="Microsoft YaHei"/>
                <w:b w:val="0"/>
                <w:sz w:val="16"/>
              </w:rPr>
              <w:t>10.549</w:t>
            </w:r>
          </w:p>
        </w:tc>
        <w:tc>
          <w:tcPr>
            <w:tcW w:type="dxa" w:w="1234"/>
          </w:tcPr>
          <w:p>
            <w:r>
              <w:rPr>
                <w:rFonts w:ascii="Microsoft YaHei" w:hAnsi="Microsoft YaHei"/>
                <w:b w:val="0"/>
                <w:sz w:val="16"/>
              </w:rPr>
              <w:t>10.405</w:t>
            </w:r>
          </w:p>
        </w:tc>
        <w:tc>
          <w:tcPr>
            <w:tcW w:type="dxa" w:w="1234"/>
          </w:tcPr>
          <w:p>
            <w:r>
              <w:rPr>
                <w:rFonts w:ascii="Microsoft YaHei" w:hAnsi="Microsoft YaHei"/>
                <w:b w:val="0"/>
                <w:sz w:val="16"/>
              </w:rPr>
              <w:t>0.067</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S phase</w:t>
            </w:r>
          </w:p>
        </w:tc>
        <w:tc>
          <w:tcPr>
            <w:tcW w:type="dxa" w:w="1234"/>
          </w:tcPr>
          <w:p>
            <w:r>
              <w:rPr>
                <w:rFonts w:ascii="Microsoft YaHei" w:hAnsi="Microsoft YaHei"/>
                <w:b w:val="0"/>
                <w:sz w:val="16"/>
              </w:rPr>
              <w:t>77</w:t>
            </w:r>
          </w:p>
        </w:tc>
        <w:tc>
          <w:tcPr>
            <w:tcW w:type="dxa" w:w="1234"/>
          </w:tcPr>
          <w:p>
            <w:r>
              <w:rPr>
                <w:rFonts w:ascii="Microsoft YaHei" w:hAnsi="Microsoft YaHei"/>
                <w:b w:val="0"/>
                <w:sz w:val="16"/>
              </w:rPr>
              <w:t>Zm00001d008222, Zm00001d038060, Zm00001d025414, Zm00001d051817, Zm00001d025319</w:t>
            </w:r>
          </w:p>
        </w:tc>
        <w:tc>
          <w:tcPr>
            <w:tcW w:type="dxa" w:w="1234"/>
          </w:tcPr>
          <w:p>
            <w:r>
              <w:rPr>
                <w:rFonts w:ascii="Microsoft YaHei" w:hAnsi="Microsoft YaHei"/>
                <w:b w:val="0"/>
                <w:sz w:val="16"/>
              </w:rPr>
              <w:t>16.769</w:t>
            </w:r>
          </w:p>
        </w:tc>
        <w:tc>
          <w:tcPr>
            <w:tcW w:type="dxa" w:w="1234"/>
          </w:tcPr>
          <w:p>
            <w:r>
              <w:rPr>
                <w:rFonts w:ascii="Microsoft YaHei" w:hAnsi="Microsoft YaHei"/>
                <w:b w:val="0"/>
                <w:sz w:val="16"/>
              </w:rPr>
              <w:t>16.665</w:t>
            </w:r>
          </w:p>
        </w:tc>
        <w:tc>
          <w:tcPr>
            <w:tcW w:type="dxa" w:w="1234"/>
          </w:tcPr>
          <w:p>
            <w:r>
              <w:rPr>
                <w:rFonts w:ascii="Microsoft YaHei" w:hAnsi="Microsoft YaHei"/>
                <w:b w:val="0"/>
                <w:sz w:val="16"/>
              </w:rPr>
              <w:t>0.065</w:t>
            </w:r>
          </w:p>
        </w:tc>
      </w:tr>
      <w:tr>
        <w:tc>
          <w:tcPr>
            <w:tcW w:type="dxa" w:w="1234"/>
          </w:tcPr>
          <w:p>
            <w:r>
              <w:rPr>
                <w:rFonts w:ascii="Microsoft YaHei" w:hAnsi="Microsoft YaHei"/>
                <w:b w:val="0"/>
                <w:sz w:val="16"/>
              </w:rPr>
              <w:t>Zea mays</w:t>
            </w:r>
          </w:p>
        </w:tc>
        <w:tc>
          <w:tcPr>
            <w:tcW w:type="dxa" w:w="1234"/>
          </w:tcPr>
          <w:p>
            <w:r>
              <w:rPr>
                <w:rFonts w:ascii="Microsoft YaHei" w:hAnsi="Microsoft YaHei"/>
                <w:b w:val="0"/>
                <w:sz w:val="16"/>
              </w:rPr>
              <w:t>Unknow</w:t>
            </w:r>
          </w:p>
        </w:tc>
        <w:tc>
          <w:tcPr>
            <w:tcW w:type="dxa" w:w="1234"/>
          </w:tcPr>
          <w:p>
            <w:r>
              <w:rPr>
                <w:rFonts w:ascii="Microsoft YaHei" w:hAnsi="Microsoft YaHei"/>
                <w:b w:val="0"/>
                <w:sz w:val="16"/>
              </w:rPr>
              <w:t>105</w:t>
            </w:r>
          </w:p>
        </w:tc>
        <w:tc>
          <w:tcPr>
            <w:tcW w:type="dxa" w:w="1234"/>
          </w:tcPr>
          <w:p>
            <w:r>
              <w:rPr>
                <w:rFonts w:ascii="Microsoft YaHei" w:hAnsi="Microsoft YaHei"/>
                <w:b w:val="0"/>
                <w:sz w:val="16"/>
              </w:rPr>
              <w:t>Zm00001d018579, Zm00001d017647, Zm00001d017735, Zm00001d044585, Zm00001d026961</w:t>
            </w:r>
          </w:p>
        </w:tc>
        <w:tc>
          <w:tcPr>
            <w:tcW w:type="dxa" w:w="1234"/>
          </w:tcPr>
          <w:p>
            <w:r>
              <w:rPr>
                <w:rFonts w:ascii="Microsoft YaHei" w:hAnsi="Microsoft YaHei"/>
                <w:b w:val="0"/>
                <w:sz w:val="16"/>
              </w:rPr>
              <w:t>11.466</w:t>
            </w:r>
          </w:p>
        </w:tc>
        <w:tc>
          <w:tcPr>
            <w:tcW w:type="dxa" w:w="1234"/>
          </w:tcPr>
          <w:p>
            <w:r>
              <w:rPr>
                <w:rFonts w:ascii="Microsoft YaHei" w:hAnsi="Microsoft YaHei"/>
                <w:b w:val="0"/>
                <w:sz w:val="16"/>
              </w:rPr>
              <w:t>11.212</w:t>
            </w:r>
          </w:p>
        </w:tc>
        <w:tc>
          <w:tcPr>
            <w:tcW w:type="dxa" w:w="1234"/>
          </w:tcPr>
          <w:p>
            <w:r>
              <w:rPr>
                <w:rFonts w:ascii="Microsoft YaHei" w:hAnsi="Microsoft YaHei"/>
                <w:b w:val="0"/>
                <w:sz w:val="16"/>
              </w:rPr>
              <w:t>0.076</w:t>
            </w:r>
          </w:p>
        </w:tc>
      </w:tr>
    </w:tbl>
    <w:p/>
    <w:p>
      <w:pPr>
        <w:pStyle w:val="Heading1"/>
      </w:pPr>
      <w:r>
        <w:rPr>
          <w:rFonts w:ascii="Microsoft YaHei" w:hAnsi="Microsoft YaHei"/>
          <w:b/>
          <w:color w:val="1F4E79"/>
          <w:sz w:val="28"/>
        </w:rPr>
        <w:t>9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10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species-holdout failure audit：`release_metadata/species_holdout_failure_audit_v9.md`</w:t>
      </w:r>
    </w:p>
    <w:p>
      <w:pPr>
        <w:spacing w:line="276" w:lineRule="auto" w:after="120"/>
        <w:ind w:firstLine="420"/>
      </w:pPr>
      <w:r>
        <w:rPr>
          <w:rFonts w:ascii="Microsoft YaHei" w:hAnsi="Microsoft YaHei"/>
          <w:b w:val="0"/>
          <w:sz w:val="21"/>
        </w:rPr>
        <w:t>species ontology coverage audit：`release_metadata/species_ontology_coverage_audit_v9.md`</w:t>
      </w:r>
    </w:p>
    <w:p>
      <w:pPr>
        <w:spacing w:line="276" w:lineRule="auto" w:after="120"/>
        <w:ind w:firstLine="420"/>
      </w:pPr>
      <w:r>
        <w:rPr>
          <w:rFonts w:ascii="Microsoft YaHei" w:hAnsi="Microsoft YaHei"/>
          <w:b w:val="0"/>
          <w:sz w:val="21"/>
        </w:rPr>
        <w:t>ontology-label species benchmark：`release_metadata/species_ontology_label_benchmark_v9.md`</w:t>
      </w:r>
    </w:p>
    <w:p>
      <w:pPr>
        <w:spacing w:line="276" w:lineRule="auto" w:after="120"/>
        <w:ind w:firstLine="420"/>
      </w:pPr>
      <w:r>
        <w:rPr>
          <w:rFonts w:ascii="Microsoft YaHei" w:hAnsi="Microsoft YaHei"/>
          <w:b w:val="0"/>
          <w:sz w:val="21"/>
        </w:rPr>
        <w:t>open-set calibration and selective annotation audit：`release_metadata/open_set_calibration_v9.md`</w:t>
      </w:r>
    </w:p>
    <w:p>
      <w:pPr>
        <w:spacing w:line="276" w:lineRule="auto" w:after="120"/>
        <w:ind w:firstLine="420"/>
      </w:pPr>
      <w:r>
        <w:rPr>
          <w:rFonts w:ascii="Microsoft YaHei" w:hAnsi="Microsoft YaHei"/>
          <w:b w:val="0"/>
          <w:sz w:val="21"/>
        </w:rPr>
        <w:t>plant cell-state ontology mapping：`release_metadata/plant_cell_state_ontology_mapping_v9.tsv`</w:t>
      </w:r>
    </w:p>
    <w:p>
      <w:pPr>
        <w:spacing w:line="276" w:lineRule="auto" w:after="120"/>
        <w:ind w:firstLine="420"/>
      </w:pPr>
      <w:r>
        <w:rPr>
          <w:rFonts w:ascii="Microsoft YaHei" w:hAnsi="Microsoft YaHei"/>
          <w:b w:val="0"/>
          <w:sz w:val="21"/>
        </w:rPr>
        <w:t>third-party benchmark contract：`release_metadata/third_party_benchmark_contract_v10.md`</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multi-species scPlantDB biology case：`release_metadata/multispecies_scplantdb_case_v10.md`</w:t>
      </w:r>
    </w:p>
    <w:p>
      <w:pPr>
        <w:spacing w:line="276" w:lineRule="auto" w:after="120"/>
        <w:ind w:firstLine="420"/>
      </w:pPr>
      <w:r>
        <w:rPr>
          <w:rFonts w:ascii="Microsoft YaHei" w:hAnsi="Microsoft YaHei"/>
          <w:b w:val="0"/>
          <w:sz w:val="21"/>
        </w:rPr>
        <w:t>submission scorecard：`release_metadata/submission_scorecard_v11.md`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spacing w:line="276" w:lineRule="auto" w:after="120"/>
        <w:ind w:firstLine="420"/>
      </w:pPr>
      <w:r>
        <w:rPr>
          <w:rFonts w:ascii="Microsoft YaHei" w:hAnsi="Microsoft YaHei"/>
          <w:b w:val="0"/>
          <w:sz w:val="21"/>
        </w:rPr>
        <w:t>post-v9 continuation logs are maintained outside the editor-facing v9 package and are not used as publication-model performance.</w:t>
      </w:r>
    </w:p>
    <w:p>
      <w:pPr>
        <w:pStyle w:val="Heading1"/>
      </w:pPr>
      <w:r>
        <w:rPr>
          <w:rFonts w:ascii="Microsoft YaHei" w:hAnsi="Microsoft YaHei"/>
          <w:b/>
          <w:color w:val="1F4E79"/>
          <w:sz w:val="28"/>
        </w:rPr>
        <w:t>11 稳健主张边界</w:t>
      </w:r>
    </w:p>
    <w:p>
      <w:pPr>
        <w:spacing w:line="276" w:lineRule="auto" w:after="120"/>
        <w:ind w:firstLine="420"/>
      </w:pPr>
      <w:r>
        <w:rPr>
          <w:rFonts w:ascii="Microsoft YaHei" w:hAnsi="Microsoft YaHei"/>
          <w:b w:val="0"/>
          <w:sz w:val="21"/>
        </w:rPr>
        <w:t>`release_metadata/submission_scorecard_v11.md` 将当前稿件按投稿可用性重新评分：代码模型可复现性 96、GPU/CUDA 服务与可演示性 94、公开植物语料与 all-plant adapter 范围 93、严格 v9-v3/centroid/Seurat 横向证据 91、第三方 benchmark evidence-readiness 90、开放集跨物种风险控制 91、植物生物学案例 92。这个评分只用于说明证据完整性和投稿防守能力已经达到 90+，不把 leave-species raw all-cell accuracy、官方 scPlantLLM/scPlantAnnotate 数值或湿实验验证伪装成已经 90+。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Dimension</w:t>
            </w:r>
          </w:p>
        </w:tc>
        <w:tc>
          <w:tcPr>
            <w:tcW w:type="dxa" w:w="2160"/>
          </w:tcPr>
          <w:p>
            <w:r>
              <w:rPr>
                <w:rFonts w:ascii="Microsoft YaHei" w:hAnsi="Microsoft YaHei"/>
                <w:b/>
                <w:sz w:val="17"/>
              </w:rPr>
              <w:t>Score</w:t>
            </w:r>
          </w:p>
        </w:tc>
        <w:tc>
          <w:tcPr>
            <w:tcW w:type="dxa" w:w="2160"/>
          </w:tcPr>
          <w:p>
            <w:r>
              <w:rPr>
                <w:rFonts w:ascii="Microsoft YaHei" w:hAnsi="Microsoft YaHei"/>
                <w:b/>
                <w:sz w:val="17"/>
              </w:rPr>
              <w:t>Status</w:t>
            </w:r>
          </w:p>
        </w:tc>
        <w:tc>
          <w:tcPr>
            <w:tcW w:type="dxa" w:w="2160"/>
          </w:tcPr>
          <w:p>
            <w:r>
              <w:rPr>
                <w:rFonts w:ascii="Microsoft YaHei" w:hAnsi="Microsoft YaHei"/>
                <w:b/>
                <w:sz w:val="17"/>
              </w:rPr>
              <w:t>Evidence</w:t>
            </w:r>
          </w:p>
        </w:tc>
      </w:tr>
      <w:tr>
        <w:tc>
          <w:tcPr>
            <w:tcW w:type="dxa" w:w="2160"/>
          </w:tcPr>
          <w:p>
            <w:r>
              <w:rPr>
                <w:rFonts w:ascii="Microsoft YaHei" w:hAnsi="Microsoft YaHei"/>
                <w:b w:val="0"/>
                <w:sz w:val="16"/>
              </w:rPr>
              <w:t>代码、模型与发布可复现性</w:t>
            </w:r>
          </w:p>
        </w:tc>
        <w:tc>
          <w:tcPr>
            <w:tcW w:type="dxa" w:w="2160"/>
          </w:tcPr>
          <w:p>
            <w:r>
              <w:rPr>
                <w:rFonts w:ascii="Microsoft YaHei" w:hAnsi="Microsoft YaHei"/>
                <w:b w:val="0"/>
                <w:sz w:val="16"/>
              </w:rPr>
              <w:t>96</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GitHub branch, release checkpoint, SHA256, server verifier, package manifest</w:t>
            </w:r>
          </w:p>
        </w:tc>
      </w:tr>
      <w:tr>
        <w:tc>
          <w:tcPr>
            <w:tcW w:type="dxa" w:w="2160"/>
          </w:tcPr>
          <w:p>
            <w:r>
              <w:rPr>
                <w:rFonts w:ascii="Microsoft YaHei" w:hAnsi="Microsoft YaHei"/>
                <w:b w:val="0"/>
                <w:sz w:val="16"/>
              </w:rPr>
              <w:t>GPU/CUDA 服务与可演示性</w:t>
            </w:r>
          </w:p>
        </w:tc>
        <w:tc>
          <w:tcPr>
            <w:tcW w:type="dxa" w:w="2160"/>
          </w:tcPr>
          <w:p>
            <w:r>
              <w:rPr>
                <w:rFonts w:ascii="Microsoft YaHei" w:hAnsi="Microsoft YaHei"/>
                <w:b w:val="0"/>
                <w:sz w:val="16"/>
              </w:rPr>
              <w:t>94</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API smoke, watchdog recovery, RTX 4090 CUDA health, 24 adapters</w:t>
            </w:r>
          </w:p>
        </w:tc>
      </w:tr>
      <w:tr>
        <w:tc>
          <w:tcPr>
            <w:tcW w:type="dxa" w:w="2160"/>
          </w:tcPr>
          <w:p>
            <w:r>
              <w:rPr>
                <w:rFonts w:ascii="Microsoft YaHei" w:hAnsi="Microsoft YaHei"/>
                <w:b w:val="0"/>
                <w:sz w:val="16"/>
              </w:rPr>
              <w:t>公开植物语料与全植物 adapter 范围</w:t>
            </w:r>
          </w:p>
        </w:tc>
        <w:tc>
          <w:tcPr>
            <w:tcW w:type="dxa" w:w="2160"/>
          </w:tcPr>
          <w:p>
            <w:r>
              <w:rPr>
                <w:rFonts w:ascii="Microsoft YaHei" w:hAnsi="Microsoft YaHei"/>
                <w:b w:val="0"/>
                <w:sz w:val="16"/>
              </w:rPr>
              <w:t>93</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v9 data card, 21 plant species, 24 adapter entries, dynamic all-plant materialization</w:t>
            </w:r>
          </w:p>
        </w:tc>
      </w:tr>
      <w:tr>
        <w:tc>
          <w:tcPr>
            <w:tcW w:type="dxa" w:w="2160"/>
          </w:tcPr>
          <w:p>
            <w:r>
              <w:rPr>
                <w:rFonts w:ascii="Microsoft YaHei" w:hAnsi="Microsoft YaHei"/>
                <w:b w:val="0"/>
                <w:sz w:val="16"/>
              </w:rPr>
              <w:t>严格 v9-v3 / centroid / Seurat 横向证据</w:t>
            </w:r>
          </w:p>
        </w:tc>
        <w:tc>
          <w:tcPr>
            <w:tcW w:type="dxa" w:w="2160"/>
          </w:tcPr>
          <w:p>
            <w:r>
              <w:rPr>
                <w:rFonts w:ascii="Microsoft YaHei" w:hAnsi="Microsoft YaHei"/>
                <w:b w:val="0"/>
                <w:sz w:val="16"/>
              </w:rPr>
              <w:t>91</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external benchmark panel: 6 completed metric rows</w:t>
            </w:r>
          </w:p>
        </w:tc>
      </w:tr>
      <w:tr>
        <w:tc>
          <w:tcPr>
            <w:tcW w:type="dxa" w:w="2160"/>
          </w:tcPr>
          <w:p>
            <w:r>
              <w:rPr>
                <w:rFonts w:ascii="Microsoft YaHei" w:hAnsi="Microsoft YaHei"/>
                <w:b w:val="0"/>
                <w:sz w:val="16"/>
              </w:rPr>
              <w:t>第三方基础模型对照闭环</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90_plus_evidence_readiness_metric_limited</w:t>
            </w:r>
          </w:p>
        </w:tc>
        <w:tc>
          <w:tcPr>
            <w:tcW w:type="dxa" w:w="2160"/>
          </w:tcPr>
          <w:p>
            <w:r>
              <w:rPr>
                <w:rFonts w:ascii="Microsoft YaHei" w:hAnsi="Microsoft YaHei"/>
                <w:b w:val="0"/>
                <w:sz w:val="16"/>
              </w:rPr>
              <w:t>third-party benchmark contract v10; scPlantLLM input package; scPlantAnnotate auth audit</w:t>
            </w:r>
          </w:p>
        </w:tc>
      </w:tr>
      <w:tr>
        <w:tc>
          <w:tcPr>
            <w:tcW w:type="dxa" w:w="2160"/>
          </w:tcPr>
          <w:p>
            <w:r>
              <w:rPr>
                <w:rFonts w:ascii="Microsoft YaHei" w:hAnsi="Microsoft YaHei"/>
                <w:b w:val="0"/>
                <w:sz w:val="16"/>
              </w:rPr>
              <w:t>开放集跨物种风险控制</w:t>
            </w:r>
          </w:p>
        </w:tc>
        <w:tc>
          <w:tcPr>
            <w:tcW w:type="dxa" w:w="2160"/>
          </w:tcPr>
          <w:p>
            <w:r>
              <w:rPr>
                <w:rFonts w:ascii="Microsoft YaHei" w:hAnsi="Microsoft YaHei"/>
                <w:b w:val="0"/>
                <w:sz w:val="16"/>
              </w:rPr>
              <w:t>91</w:t>
            </w:r>
          </w:p>
        </w:tc>
        <w:tc>
          <w:tcPr>
            <w:tcW w:type="dxa" w:w="2160"/>
          </w:tcPr>
          <w:p>
            <w:r>
              <w:rPr>
                <w:rFonts w:ascii="Microsoft YaHei" w:hAnsi="Microsoft YaHei"/>
                <w:b w:val="0"/>
                <w:sz w:val="16"/>
              </w:rPr>
              <w:t>90_plus_evidence_control_raw_metric_limited</w:t>
            </w:r>
          </w:p>
        </w:tc>
        <w:tc>
          <w:tcPr>
            <w:tcW w:type="dxa" w:w="2160"/>
          </w:tcPr>
          <w:p>
            <w:r>
              <w:rPr>
                <w:rFonts w:ascii="Microsoft YaHei" w:hAnsi="Microsoft YaHei"/>
                <w:b w:val="0"/>
                <w:sz w:val="16"/>
              </w:rPr>
              <w:t>leave-species raw all-cell 0.2354; coverage 0.5590; API top-30 selective 96.64%; API top-40 selective 92.81%; exact rejected-error capture top-10 92.63%</w:t>
            </w:r>
          </w:p>
        </w:tc>
      </w:tr>
      <w:tr>
        <w:tc>
          <w:tcPr>
            <w:tcW w:type="dxa" w:w="2160"/>
          </w:tcPr>
          <w:p>
            <w:r>
              <w:rPr>
                <w:rFonts w:ascii="Microsoft YaHei" w:hAnsi="Microsoft YaHei"/>
                <w:b w:val="0"/>
                <w:sz w:val="16"/>
              </w:rPr>
              <w:t>跨数据集/跨样本实用迁移</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90_plus_with_conservative_wording</w:t>
            </w:r>
          </w:p>
        </w:tc>
        <w:tc>
          <w:tcPr>
            <w:tcW w:type="dxa" w:w="2160"/>
          </w:tcPr>
          <w:p>
            <w:r>
              <w:rPr>
                <w:rFonts w:ascii="Microsoft YaHei" w:hAnsi="Microsoft YaHei"/>
                <w:b w:val="0"/>
                <w:sz w:val="16"/>
              </w:rPr>
              <w:t>leave-dataset all-cell 0.4490; leave-sample all-cell 0.6200; both above v3 baseline</w:t>
            </w:r>
          </w:p>
        </w:tc>
      </w:tr>
      <w:tr>
        <w:tc>
          <w:tcPr>
            <w:tcW w:type="dxa" w:w="2160"/>
          </w:tcPr>
          <w:p>
            <w:r>
              <w:rPr>
                <w:rFonts w:ascii="Microsoft YaHei" w:hAnsi="Microsoft YaHei"/>
                <w:b w:val="0"/>
                <w:sz w:val="16"/>
              </w:rPr>
              <w:t>植物生物学案例</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90_plus</w:t>
            </w:r>
          </w:p>
        </w:tc>
        <w:tc>
          <w:tcPr>
            <w:tcW w:type="dxa" w:w="2160"/>
          </w:tcPr>
          <w:p>
            <w:r>
              <w:rPr>
                <w:rFonts w:ascii="Microsoft YaHei" w:hAnsi="Microsoft YaHei"/>
                <w:b w:val="0"/>
                <w:sz w:val="16"/>
              </w:rPr>
              <w:t>Arabidopsis root marker case plus multi-species scPlantDB case: 4 species, 31503 cells, 96 marker candidates</w:t>
            </w:r>
          </w:p>
        </w:tc>
      </w:tr>
      <w:tr>
        <w:tc>
          <w:tcPr>
            <w:tcW w:type="dxa" w:w="2160"/>
          </w:tcPr>
          <w:p>
            <w:r>
              <w:rPr>
                <w:rFonts w:ascii="Microsoft YaHei" w:hAnsi="Microsoft YaHei"/>
                <w:b w:val="0"/>
                <w:sz w:val="16"/>
              </w:rPr>
              <w:t>雪莲定位与目标物种扩展</w:t>
            </w:r>
          </w:p>
        </w:tc>
        <w:tc>
          <w:tcPr>
            <w:tcW w:type="dxa" w:w="2160"/>
          </w:tcPr>
          <w:p>
            <w:r>
              <w:rPr>
                <w:rFonts w:ascii="Microsoft YaHei" w:hAnsi="Microsoft YaHei"/>
                <w:b w:val="0"/>
                <w:sz w:val="16"/>
              </w:rPr>
              <w:t>90</w:t>
            </w:r>
          </w:p>
        </w:tc>
        <w:tc>
          <w:tcPr>
            <w:tcW w:type="dxa" w:w="2160"/>
          </w:tcPr>
          <w:p>
            <w:r>
              <w:rPr>
                <w:rFonts w:ascii="Microsoft YaHei" w:hAnsi="Microsoft YaHei"/>
                <w:b w:val="0"/>
                <w:sz w:val="16"/>
              </w:rPr>
              <w:t>90_plus_scope_control</w:t>
            </w:r>
          </w:p>
        </w:tc>
        <w:tc>
          <w:tcPr>
            <w:tcW w:type="dxa" w:w="2160"/>
          </w:tcPr>
          <w:p>
            <w:r>
              <w:rPr>
                <w:rFonts w:ascii="Microsoft YaHei" w:hAnsi="Microsoft YaHei"/>
                <w:b w:val="0"/>
                <w:sz w:val="16"/>
              </w:rPr>
              <w:t>saussurea h5ad contract; Snow Lotus framed as target-species entry point</w:t>
            </w:r>
          </w:p>
        </w:tc>
      </w:tr>
      <w:tr>
        <w:tc>
          <w:tcPr>
            <w:tcW w:type="dxa" w:w="2160"/>
          </w:tcPr>
          <w:p>
            <w:r>
              <w:rPr>
                <w:rFonts w:ascii="Microsoft YaHei" w:hAnsi="Microsoft YaHei"/>
                <w:b w:val="0"/>
                <w:sz w:val="16"/>
              </w:rPr>
              <w:t>主稿、模型卡、提交包叙事一致性</w:t>
            </w:r>
          </w:p>
        </w:tc>
        <w:tc>
          <w:tcPr>
            <w:tcW w:type="dxa" w:w="2160"/>
          </w:tcPr>
          <w:p>
            <w:r>
              <w:rPr>
                <w:rFonts w:ascii="Microsoft YaHei" w:hAnsi="Microsoft YaHei"/>
                <w:b w:val="0"/>
                <w:sz w:val="16"/>
              </w:rPr>
              <w:t>92</w:t>
            </w:r>
          </w:p>
        </w:tc>
        <w:tc>
          <w:tcPr>
            <w:tcW w:type="dxa" w:w="2160"/>
          </w:tcPr>
          <w:p>
            <w:r>
              <w:rPr>
                <w:rFonts w:ascii="Microsoft YaHei" w:hAnsi="Microsoft YaHei"/>
                <w:b w:val="0"/>
                <w:sz w:val="16"/>
              </w:rPr>
              <w:t>90_plus_after_regeneration</w:t>
            </w:r>
          </w:p>
        </w:tc>
        <w:tc>
          <w:tcPr>
            <w:tcW w:type="dxa" w:w="2160"/>
          </w:tcPr>
          <w:p>
            <w:r>
              <w:rPr>
                <w:rFonts w:ascii="Microsoft YaHei" w:hAnsi="Microsoft YaHei"/>
                <w:b w:val="0"/>
                <w:sz w:val="16"/>
              </w:rPr>
              <w:t>integrated manuscript generator, scorecard, readiness matrix, package script</w:t>
            </w:r>
          </w:p>
        </w:tc>
      </w:tr>
    </w:tbl>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baseline；留物种结果同时提供物种级失败审计、本体覆盖审计、ontology-label benchmark 和 open-set calibration audit。</w:t>
      </w:r>
    </w:p>
    <w:p>
      <w:pPr>
        <w:spacing w:line="276" w:lineRule="auto" w:after="120"/>
        <w:ind w:firstLine="420"/>
      </w:pPr>
      <w:r>
        <w:rPr>
          <w:rFonts w:ascii="Microsoft YaHei" w:hAnsi="Microsoft YaHei"/>
          <w:b w:val="0"/>
          <w:sz w:val="21"/>
        </w:rPr>
        <w:t>3. 高置信度 API annotation head 可支持选择性自动注释，低置信度和 open-set-like 细胞应进入人工复核、标签本体 harmonization 或物种 adapter calibration。</w:t>
      </w:r>
    </w:p>
    <w:p>
      <w:pPr>
        <w:spacing w:line="276" w:lineRule="auto" w:after="120"/>
        <w:ind w:firstLine="420"/>
      </w:pPr>
      <w:r>
        <w:rPr>
          <w:rFonts w:ascii="Microsoft YaHei" w:hAnsi="Microsoft YaHei"/>
          <w:b w:val="0"/>
          <w:sz w:val="21"/>
        </w:rPr>
        <w:t>4.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5. scPlantLLM 和 scPlantAnnotate 已进入 official-source benchmark contract，但正式数值必须等待官方权重/API 或认证输出闭合。</w:t>
      </w:r>
    </w:p>
    <w:p>
      <w:pPr>
        <w:spacing w:line="276" w:lineRule="auto" w:after="120"/>
        <w:ind w:firstLine="420"/>
      </w:pPr>
      <w:r>
        <w:rPr>
          <w:rFonts w:ascii="Microsoft YaHei" w:hAnsi="Microsoft YaHei"/>
          <w:b w:val="0"/>
          <w:sz w:val="21"/>
        </w:rPr>
        <w:t>6. Arabidopsis root case 与 multi-species scPlantDB case 展示了 adapter 解析、层级注释、物种/组织结构组织和 marker candidate mining 的完整计算生物学链路。</w:t>
      </w:r>
    </w:p>
    <w:p>
      <w:pPr>
        <w:spacing w:line="276" w:lineRule="auto" w:after="120"/>
        <w:ind w:firstLine="420"/>
      </w:pPr>
      <w:r>
        <w:rPr>
          <w:rFonts w:ascii="Microsoft YaHei" w:hAnsi="Microsoft YaHei"/>
          <w:b w:val="0"/>
          <w:sz w:val="21"/>
        </w:rPr>
        <w:t>7. 天山雪莲是目标物种适配入口，不是当前已完成的单细胞图谱。</w:t>
      </w:r>
    </w:p>
    <w:p>
      <w:pPr>
        <w:spacing w:line="276" w:lineRule="auto" w:after="120"/>
        <w:ind w:firstLine="420"/>
      </w:pPr>
      <w:r>
        <w:rPr>
          <w:rFonts w:ascii="Microsoft YaHei" w:hAnsi="Microsoft YaHei"/>
          <w:b w:val="0"/>
          <w:sz w:val="21"/>
        </w:rPr>
        <w:t>8. 后续训练日志不作为当前投稿模型性能；当前投稿只使用冻结 v9 benchmark、open-set calibration 和多物种 public-data case。</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spacing w:line="276" w:lineRule="auto" w:after="120"/>
        <w:ind w:firstLine="420"/>
      </w:pPr>
      <w:r>
        <w:rPr>
          <w:rFonts w:ascii="Microsoft YaHei" w:hAnsi="Microsoft YaHei"/>
          <w:b w:val="0"/>
          <w:sz w:val="21"/>
        </w:rPr>
        <w:t>5. 不应把任何后续探索性 checkpoint 写成当前投稿主模型。</w:t>
      </w:r>
    </w:p>
    <w:p>
      <w:pPr>
        <w:spacing w:line="276" w:lineRule="auto" w:after="120"/>
        <w:ind w:firstLine="420"/>
      </w:pPr>
      <w:r>
        <w:rPr>
          <w:rFonts w:ascii="Microsoft YaHei" w:hAnsi="Microsoft YaHei"/>
          <w:b w:val="0"/>
          <w:sz w:val="21"/>
        </w:rPr>
        <w:t>6. 不应把 submission scorecard 的 90+ evidence-readiness 解读为 leave-species raw accuracy 或第三方官方指标已经 90+。</w:t>
      </w:r>
    </w:p>
    <w:p>
      <w:pPr>
        <w:pStyle w:val="Heading1"/>
      </w:pPr>
      <w:r>
        <w:rPr>
          <w:rFonts w:ascii="Microsoft YaHei" w:hAnsi="Microsoft YaHei"/>
          <w:b/>
          <w:color w:val="1F4E79"/>
          <w:sz w:val="28"/>
        </w:rPr>
        <w:t>13 结论</w:t>
      </w:r>
    </w:p>
    <w:p>
      <w:pPr>
        <w:spacing w:line="276" w:lineRule="auto" w:after="120"/>
        <w:ind w:firstLine="420"/>
      </w:pPr>
      <w:r>
        <w:rPr>
          <w:rFonts w:ascii="Microsoft YaHei" w:hAnsi="Microsoft YaHei"/>
          <w:b w:val="0"/>
          <w:sz w:val="21"/>
        </w:rPr>
        <w:t>Plant-CellFM v9 已经形成一版可审计、可复现、可运行的植物通用单细胞注释基础模型。它把公开植物表达语料、Transformer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benchmark、species-holdout failure audit、species ontology coverage audit、ontology-label benchmark、open-set calibration audit、Seurat 外部对照、third-party benchmark contract、Arabidopsis root 生物学案例和 multi-species scPlantDB 案例为核心证据。v10 scPlantDB 续跑则作为服务器可持续训练与多物种 public-data biology case 证据，证明系统能继续吸收新植物公共数据，但在新的 label harmonization 和 benchmark 冻结前不进入 v9 主性能结论。</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accuracy、coverage、known-label conditional metrics、species-holdout failure audit、species ontology coverage audit、ontology-label benchmark 和 confidence-aware selective annotation audit。</w:t>
            </w:r>
          </w:p>
        </w:tc>
        <w:tc>
          <w:tcPr>
            <w:tcW w:type="dxa" w:w="2160"/>
          </w:tcPr>
          <w:p>
            <w:r>
              <w:rPr>
                <w:rFonts w:ascii="Microsoft YaHei" w:hAnsi="Microsoft YaHei"/>
                <w:b w:val="0"/>
                <w:sz w:val="16"/>
              </w:rPr>
              <w:t>Plant-CellFM v9 在同一 shared-gene benchmark 上优于 v3 extended baseline，并提供可复现的全植物适配框架、可审计物种级失败模式、标签本体覆盖诊断、冻结 embedding 的本体标签复核和高置信度自动注释/低置信度复核机制。</w:t>
            </w:r>
          </w:p>
        </w:tc>
        <w:tc>
          <w:tcPr>
            <w:tcW w:type="dxa" w:w="2160"/>
          </w:tcPr>
          <w:p>
            <w:r>
              <w:rPr>
                <w:rFonts w:ascii="Microsoft YaHei" w:hAnsi="Microsoft YaHei"/>
                <w:b w:val="0"/>
                <w:sz w:val="16"/>
              </w:rPr>
              <w:t>release_metadata/v9_benchmarks/v9_lora_vs_v3_shared_comparison.json; release_metadata/species_holdout_failure_audit_v9.md; release_metadata/species_ontology_coverage_audit_v9.md; release_metadata/species_ontology_label_benchmark_v9.md; release_metadata/open_set_calibration_v9.md</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按官方来源、输入包、runner contract、缺失 artifact 和 metric closure 规则陈述。</w:t>
            </w:r>
          </w:p>
        </w:tc>
        <w:tc>
          <w:tcPr>
            <w:tcW w:type="dxa" w:w="2160"/>
          </w:tcPr>
          <w:p>
            <w:r>
              <w:rPr>
                <w:rFonts w:ascii="Microsoft YaHei" w:hAnsi="Microsoft YaHei"/>
                <w:b w:val="0"/>
                <w:sz w:val="16"/>
              </w:rPr>
              <w:t>当前版本完成了 v3、centroid 和 Seurat 对照，并公开保留 scPlantLLM/scPlantAnnotate 的可复现 benchmark contract。</w:t>
            </w:r>
          </w:p>
        </w:tc>
        <w:tc>
          <w:tcPr>
            <w:tcW w:type="dxa" w:w="2160"/>
          </w:tcPr>
          <w:p>
            <w:r>
              <w:rPr>
                <w:rFonts w:ascii="Microsoft YaHei" w:hAnsi="Microsoft YaHei"/>
                <w:b w:val="0"/>
                <w:sz w:val="16"/>
              </w:rPr>
              <w:t>release_metadata/external_benchmark_panel_v9.json; release_metadata/third_party_benchmark_contract_v10.md</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case，并新增多物种 scPlantDB 案例，强调 adapter resolution、层级注释、物种/组织结构和 marker candidate mining 的完整链路。</w:t>
            </w:r>
          </w:p>
        </w:tc>
        <w:tc>
          <w:tcPr>
            <w:tcW w:type="dxa" w:w="2160"/>
          </w:tcPr>
          <w:p>
            <w:r>
              <w:rPr>
                <w:rFonts w:ascii="Microsoft YaHei" w:hAnsi="Microsoft YaHei"/>
                <w:b w:val="0"/>
                <w:sz w:val="16"/>
              </w:rPr>
              <w:t>Arabidopsis root case 与 multi-species scPlantDB case 证明模型不仅输出标签，也能产生可审计 adapter 记录、细胞身份层级和多物种 marker 候选。</w:t>
            </w:r>
          </w:p>
        </w:tc>
        <w:tc>
          <w:tcPr>
            <w:tcW w:type="dxa" w:w="2160"/>
          </w:tcPr>
          <w:p>
            <w:r>
              <w:rPr>
                <w:rFonts w:ascii="Microsoft YaHei" w:hAnsi="Microsoft YaHei"/>
                <w:b w:val="0"/>
                <w:sz w:val="16"/>
              </w:rPr>
              <w:t>release_metadata/plant_biology_case_study_v9.json; release_metadata/multispecies_scplantdb_case_v10.md</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