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95ED"/>
          <w:sz w:val="28"/>
        </w:rPr>
        <w:t>GWSPH RESEARCH SHOWCASE</w:t>
      </w:r>
    </w:p>
    <w:p>
      <w:pPr>
        <w:jc w:val="center"/>
      </w:pPr>
      <w:r>
        <w:rPr>
          <w:b/>
          <w:sz w:val="56"/>
        </w:rPr>
        <w:t>CHOOSE AN ITEM.</w:t>
      </w:r>
    </w:p>
    <w:p>
      <w:r>
        <w:rPr>
          <w:b/>
          <w:sz w:val="28"/>
        </w:rPr>
        <w:t>Climate Shocks and Health Costs in the United States: Evidence from State and County-Level Panel Analyses and Weather Volatility Effects</w:t>
      </w:r>
    </w:p>
    <w:p>
      <w:pPr>
        <w:spacing w:after="240"/>
      </w:pPr>
      <w:r>
        <w:t>Environmental shocks—including climate extremes, drought, and air quality deterioration—impose substantial burdens on individual health and insurance markets. This study investigates the causal relationships between climate exposure, air quality, and health-related economic outcomes across the United States from 2011–2026, using a comprehensive panel framework combining state and county-level analyses.</w:t>
        <w:br/>
        <w:br/>
        <w:t>We employ three complementary econometric approaches. First, fixed-effects models isolate the contemporaneous and lagged effects of climate and air quality variables on three health outcome measures: medical debt, health insurance exchange (HIX) premiums, and hospital costs. Second, dynamic panel impulse-response models (event study design) capture the dynamic trajectories of these outcomes following individual climate shocks (drought, extreme heat, extreme cold, high air quality events) and compound shock scenarios, revealing multi-year recovery periods. Third, and novel to this work, we introduce a weather swing analysis that quantifies the health costs of year-over-year volatility in climate exposure, distinct from level effects.</w:t>
        <w:br/>
        <w:br/>
        <w:t>Key Preliminary Findings:</w:t>
        <w:br/>
        <w:t>• State-level results show that extreme drought (2-year lag) and cold shocks (1-year lag) significantly increase medical debt and insurance premiums</w:t>
        <w:br/>
        <w:t>• County-level event study analysis reveals heterogeneous responses across outcomes: some health costs respond contemporaneously while others lag by 1–3 years</w:t>
        <w:br/>
        <w:t>• The weather swing analysis identifies substantial health costs from weather volatility independent of absolute climate levels—a previously underexplored source of variation</w:t>
        <w:br/>
        <w:t>• Combined shock analysis demonstrates dose-response patterns: counties experiencing multiple concurrent shocks face amplified health cost burdens</w:t>
        <w:br/>
        <w:t>• Rating-area level clustering provides robustness for policy-relevant analysis</w:t>
        <w:br/>
        <w:br/>
        <w:t>This work contributes to understanding how environmental variability translates into observable health system stress and individual financial burden. The emphasis on weather volatility opens new research directions for climate adaptation and suggests that reducing year-to-year climate unpredictability may be as important for population health as mitigating long-term climate trends.</w:t>
      </w:r>
    </w:p>
    <w:p/>
    <w:p>
      <w:pPr>
        <w:jc w:val="center"/>
      </w:pPr>
      <w:r>
        <w:rPr>
          <w:i/>
          <w:sz w:val="20"/>
        </w:rPr>
        <w:t>- - - - - - - - - - - - - - - - - - - - - Column Break - - - - - - - - - - - - - - - - - - - - -</w:t>
      </w:r>
    </w:p>
    <w:p>
      <w:r>
        <w:rPr>
          <w:b/>
          <w:color w:val="6495ED"/>
          <w:sz w:val="28"/>
        </w:rPr>
        <w:t>Primary Presenter</w:t>
      </w:r>
    </w:p>
    <w:p>
      <w:r>
        <w:t>Ahwaz Akhtar</w:t>
      </w:r>
    </w:p>
    <w:p>
      <w:r>
        <w:rPr>
          <w:b/>
          <w:sz w:val="24"/>
        </w:rPr>
        <w:t>Co-Presenter(s)</w:t>
      </w:r>
    </w:p>
    <w:p>
      <w:r>
        <w:t>None</w:t>
      </w:r>
    </w:p>
    <w:p>
      <w:r>
        <w:rPr>
          <w:b/>
          <w:sz w:val="24"/>
        </w:rPr>
        <w:t>Status</w:t>
      </w:r>
    </w:p>
    <w:p>
      <w:r>
        <w:t>Preliminary Results</w:t>
      </w:r>
    </w:p>
    <w:p>
      <w:r>
        <w:rPr>
          <w:b/>
          <w:sz w:val="24"/>
        </w:rPr>
        <w:t>Authors</w:t>
      </w:r>
    </w:p>
    <w:p>
      <w:r>
        <w:t>Ahwaz Akhtar</w:t>
      </w:r>
    </w:p>
    <w:p>
      <w:r>
        <w:rPr>
          <w:b/>
          <w:sz w:val="24"/>
        </w:rPr>
        <w:t>Research Mentor/Department Chair</w:t>
      </w:r>
    </w:p>
    <w:p>
      <w:r>
        <w:t>Avi Dor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