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E2" w:rsidRPr="00705BE2" w:rsidRDefault="00705BE2" w:rsidP="00705BE2">
      <w:pPr>
        <w:spacing w:line="360" w:lineRule="exact"/>
        <w:jc w:val="center"/>
        <w:outlineLvl w:val="0"/>
        <w:rPr>
          <w:rFonts w:ascii="黑体" w:eastAsia="黑体" w:hAnsi="黑体" w:hint="eastAsia"/>
          <w:color w:val="000000"/>
          <w:sz w:val="28"/>
          <w:szCs w:val="28"/>
        </w:rPr>
      </w:pPr>
      <w:r w:rsidRPr="00705BE2">
        <w:rPr>
          <w:rFonts w:ascii="黑体" w:eastAsia="黑体" w:hAnsi="黑体" w:hint="eastAsia"/>
          <w:color w:val="000000"/>
          <w:sz w:val="28"/>
          <w:szCs w:val="28"/>
        </w:rPr>
        <w:t>高压水泵操作规程</w:t>
      </w:r>
    </w:p>
    <w:p w:rsidR="00705BE2" w:rsidRDefault="00705BE2" w:rsidP="00705BE2">
      <w:pPr>
        <w:spacing w:line="360" w:lineRule="exact"/>
        <w:outlineLvl w:val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一、高压水泵机组的运行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1、做好运行前的检查工作。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a）检查润滑油系统、冷却水系统是否正常，油压、油温及冷却水参数在控制范围内。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油温控制25℃~40℃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油箱液位2/3处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油泵出口压力</w:t>
      </w:r>
      <w:r>
        <w:rPr>
          <w:rFonts w:ascii="宋体" w:hAnsi="宋体"/>
          <w:color w:val="000000"/>
        </w:rPr>
        <w:t>0.3</w:t>
      </w:r>
      <w:r>
        <w:rPr>
          <w:rFonts w:ascii="宋体" w:hAnsi="宋体" w:hint="eastAsia"/>
          <w:color w:val="000000"/>
        </w:rPr>
        <w:t>~</w:t>
      </w:r>
      <w:r>
        <w:rPr>
          <w:rFonts w:ascii="宋体" w:hAnsi="宋体"/>
          <w:color w:val="000000"/>
        </w:rPr>
        <w:t>0.4MPa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双筒式过滤器进出口压差＜</w:t>
      </w:r>
      <w:r>
        <w:rPr>
          <w:rFonts w:ascii="宋体" w:hAnsi="宋体"/>
          <w:color w:val="000000"/>
        </w:rPr>
        <w:t>0.05MPa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 xml:space="preserve">    进泵体及电机瓦的油压：</w:t>
      </w:r>
      <w:r>
        <w:rPr>
          <w:rFonts w:ascii="宋体" w:hAnsi="宋体"/>
          <w:color w:val="000000"/>
        </w:rPr>
        <w:t>0.08</w:t>
      </w:r>
      <w:r>
        <w:rPr>
          <w:rFonts w:ascii="宋体" w:hAnsi="宋体" w:hint="eastAsia"/>
          <w:color w:val="000000"/>
        </w:rPr>
        <w:t>~</w:t>
      </w:r>
      <w:r>
        <w:rPr>
          <w:rFonts w:ascii="宋体" w:hAnsi="宋体"/>
          <w:color w:val="000000"/>
        </w:rPr>
        <w:t>0.1</w:t>
      </w:r>
      <w:r>
        <w:rPr>
          <w:rFonts w:ascii="宋体" w:hAnsi="宋体" w:hint="eastAsia"/>
          <w:color w:val="000000"/>
        </w:rPr>
        <w:t>5</w:t>
      </w:r>
      <w:r>
        <w:rPr>
          <w:rFonts w:ascii="宋体" w:hAnsi="宋体"/>
          <w:color w:val="000000"/>
        </w:rPr>
        <w:t>MPa</w:t>
      </w:r>
    </w:p>
    <w:p w:rsidR="00705BE2" w:rsidRDefault="00705BE2" w:rsidP="00705BE2">
      <w:pPr>
        <w:pStyle w:val="a5"/>
        <w:spacing w:line="360" w:lineRule="exact"/>
        <w:ind w:firstLine="840"/>
        <w:rPr>
          <w:rFonts w:hAnsi="宋体" w:hint="eastAsia"/>
        </w:rPr>
      </w:pPr>
      <w:r>
        <w:rPr>
          <w:rFonts w:hAnsi="宋体" w:hint="eastAsia"/>
        </w:rPr>
        <w:t>电机冷却水压力控制在0</w:t>
      </w:r>
      <w:r>
        <w:rPr>
          <w:rFonts w:hAnsi="宋体"/>
        </w:rPr>
        <w:t>.</w:t>
      </w:r>
      <w:r>
        <w:rPr>
          <w:rFonts w:hAnsi="宋体" w:hint="eastAsia"/>
        </w:rPr>
        <w:t>2MPa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b）检查泵所有的进出管路连接是否牢靠。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c）盘车，检查机泵是否转动良好、无卡涩、无偏重。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d）检查电机及泵地脚螺栓是否齐全、紧固无松动。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e）检查油路、平衡水管路及冷却水管路是否畅通。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f）检查各仪表是否齐全、正常好用。</w:t>
      </w:r>
    </w:p>
    <w:p w:rsidR="00705BE2" w:rsidRDefault="00705BE2" w:rsidP="00705BE2">
      <w:pPr>
        <w:spacing w:line="360" w:lineRule="exact"/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g）检查程控</w:t>
      </w:r>
      <w:r>
        <w:rPr>
          <w:rFonts w:hAnsi="宋体" w:hint="eastAsia"/>
        </w:rPr>
        <w:t>系统报警及联锁功能，确保报警及联锁功能可靠。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h)润滑油压力、温度调整完毕后，油系统作不低于1 5分钟跑油运转。在一切正常后，方可启动电动机。</w:t>
      </w:r>
    </w:p>
    <w:p w:rsidR="00705BE2" w:rsidRDefault="00705BE2" w:rsidP="00705BE2">
      <w:pPr>
        <w:pStyle w:val="a5"/>
        <w:spacing w:line="360" w:lineRule="exact"/>
        <w:rPr>
          <w:rFonts w:hAnsi="宋体" w:hint="eastAsia"/>
        </w:rPr>
      </w:pPr>
      <w:r>
        <w:rPr>
          <w:rFonts w:hAnsi="宋体" w:hint="eastAsia"/>
        </w:rPr>
        <w:t>二、、高压水泵岗位正常操作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（a）由除焦主控室使除焦控制系统各部分(39米、7米、除焦控制阀等)处于正常工作状态。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（b）高压水泵操作工从主控柜2台水泵中选定—台要启动的高压水泵。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（c）使除焦控制阀处于“回流”位置。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（d）接通润滑油站及所选水泵电机的冷却水。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（e）接通选定水泵的润滑油路，同时关闭备用水泵的润滑油进油及回油总阀。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（f）启动润滑油泵，检查油压及油温、管路是否泄漏。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（g）打开选定水泵的出口电动阀，同时关严备用泵的出口电动阀及排气阀。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（h）打开选定泵入口阀门及排气阀，一直等引排气口流水，且没有气泡时，关严泵出口排气阀。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（i）启动P—301/1，2向D—115送水。控制其液面处于高位，溢流有回水。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（j）打开轴封的冲洗冷却水。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（k）检查泵入口压力能否达到要求。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（l）盘车至少三圈以上，无异常且灵活。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（m）联系有关部门，并再次检查润滑油系统、高压水管线及阀门、冷却水系统、电气系统。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（n）条件具备后，主控室由主控柜发出信号（灯光，声响）通知39米、7米，接回讯后，启动高压水泵。</w:t>
      </w:r>
    </w:p>
    <w:p w:rsidR="00705BE2" w:rsidRDefault="00705BE2" w:rsidP="00705BE2">
      <w:pPr>
        <w:pStyle w:val="a5"/>
        <w:spacing w:line="360" w:lineRule="exact"/>
        <w:rPr>
          <w:rFonts w:hAnsi="宋体" w:hint="eastAsia"/>
        </w:rPr>
      </w:pPr>
      <w:r>
        <w:rPr>
          <w:rFonts w:hAnsi="宋体" w:hint="eastAsia"/>
        </w:rPr>
        <w:t>三、高压水泵启动后的检查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lastRenderedPageBreak/>
        <w:t>（a）电机电流分别不大于172A（P-117/1）及182A（P-117/2）。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（b）泵出口压力不小于13Mpa。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（c）泵与电机轴瓦温度不大于70℃。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（d）泵体平衡管压力不大于0.27Mpa。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（e）泵体不得有异常发热现象。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（f）泵与电机轴瓦振动情况，泵轴瓦振动值不大于11．2mm/s电机轴瓦振动值不大于11.2mm/s。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（g）泵入口压力≮0.06Mpa。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（h）轴瓦进油压力在规定范围内，回流油畅通。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</w:t>
      </w:r>
      <w:r>
        <w:rPr>
          <w:rFonts w:hAnsi="宋体"/>
        </w:rPr>
        <w:t>I</w:t>
      </w:r>
      <w:r>
        <w:rPr>
          <w:rFonts w:hAnsi="宋体" w:hint="eastAsia"/>
        </w:rPr>
        <w:t>）轴封有否泄漏。</w:t>
      </w:r>
    </w:p>
    <w:p w:rsidR="00705BE2" w:rsidRDefault="00705BE2" w:rsidP="00705BE2">
      <w:pPr>
        <w:pStyle w:val="a5"/>
        <w:spacing w:line="360" w:lineRule="exact"/>
        <w:rPr>
          <w:rFonts w:hAnsi="宋体" w:hint="eastAsia"/>
        </w:rPr>
      </w:pPr>
      <w:r>
        <w:rPr>
          <w:rFonts w:hAnsi="宋体" w:hint="eastAsia"/>
        </w:rPr>
        <w:t>四、高压水泵的正常停运</w:t>
      </w:r>
    </w:p>
    <w:p w:rsidR="00705BE2" w:rsidRDefault="00705BE2" w:rsidP="00705BE2">
      <w:pPr>
        <w:pStyle w:val="a5"/>
        <w:numPr>
          <w:ilvl w:val="0"/>
          <w:numId w:val="1"/>
        </w:numPr>
        <w:spacing w:line="360" w:lineRule="exact"/>
        <w:rPr>
          <w:rFonts w:hAnsi="宋体" w:hint="eastAsia"/>
        </w:rPr>
      </w:pPr>
      <w:r>
        <w:rPr>
          <w:rFonts w:hAnsi="宋体" w:hint="eastAsia"/>
        </w:rPr>
        <w:t>高压水岗位操作工接司钻工通知，做好停泵准备。</w:t>
      </w:r>
    </w:p>
    <w:p w:rsidR="00705BE2" w:rsidRDefault="00705BE2" w:rsidP="00705BE2">
      <w:pPr>
        <w:pStyle w:val="a5"/>
        <w:numPr>
          <w:ilvl w:val="0"/>
          <w:numId w:val="1"/>
        </w:numPr>
        <w:spacing w:line="360" w:lineRule="exact"/>
        <w:rPr>
          <w:rFonts w:hAnsi="宋体" w:hint="eastAsia"/>
        </w:rPr>
      </w:pPr>
      <w:r>
        <w:rPr>
          <w:rFonts w:hAnsi="宋体" w:hint="eastAsia"/>
        </w:rPr>
        <w:t>司钻工将除焦控制阀置于“回流”状态，待电机电流下降并趋于稳定后按操作柱上“停止”按钮。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（c）泵停止运行后，盘车数圈，检查有无异常现象。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（d）15分钟后，待电机及水泵轴瓦温度降至常温，电机定子温度降至常温，停润滑油泵，关闭供油、供水系统，做好机组排液工作。</w:t>
      </w:r>
    </w:p>
    <w:p w:rsidR="00705BE2" w:rsidRDefault="00705BE2" w:rsidP="00705BE2">
      <w:pPr>
        <w:pStyle w:val="a5"/>
        <w:spacing w:line="360" w:lineRule="exact"/>
        <w:ind w:firstLine="420"/>
        <w:rPr>
          <w:rFonts w:hAnsi="宋体" w:hint="eastAsia"/>
        </w:rPr>
      </w:pPr>
      <w:r>
        <w:rPr>
          <w:rFonts w:hAnsi="宋体" w:hint="eastAsia"/>
        </w:rPr>
        <w:t>（e）做好高压水泵运行的各项记录。</w:t>
      </w:r>
    </w:p>
    <w:p w:rsidR="00705BE2" w:rsidRDefault="00705BE2" w:rsidP="00705BE2">
      <w:pPr>
        <w:pStyle w:val="a5"/>
        <w:spacing w:line="360" w:lineRule="exact"/>
        <w:rPr>
          <w:rFonts w:hAnsi="宋体" w:hint="eastAsia"/>
        </w:rPr>
      </w:pPr>
      <w:r>
        <w:rPr>
          <w:rFonts w:hAnsi="宋体" w:hint="eastAsia"/>
        </w:rPr>
        <w:t>五、高压水泵的紧急停车</w:t>
      </w:r>
    </w:p>
    <w:p w:rsidR="00705BE2" w:rsidRDefault="00705BE2" w:rsidP="00705BE2">
      <w:pPr>
        <w:pStyle w:val="a5"/>
        <w:spacing w:line="360" w:lineRule="exact"/>
        <w:ind w:left="420" w:firstLine="420"/>
        <w:rPr>
          <w:rFonts w:hAnsi="宋体" w:hint="eastAsia"/>
        </w:rPr>
      </w:pPr>
      <w:r>
        <w:rPr>
          <w:rFonts w:hAnsi="宋体" w:hint="eastAsia"/>
        </w:rPr>
        <w:t>当出现或即将出现设备及人生安全紧急事故时，可不将除焦控制阀置于“回流”位，分别于塔顶运行的防爆操作柜及高压水泵操作柜上直接按下“急停”按钮，或直接在高压水泵房操作柱上按“停止”按钮。</w:t>
      </w:r>
    </w:p>
    <w:p w:rsidR="00705BE2" w:rsidRDefault="00705BE2" w:rsidP="00705BE2">
      <w:pPr>
        <w:pStyle w:val="a5"/>
        <w:spacing w:line="360" w:lineRule="exact"/>
        <w:outlineLvl w:val="0"/>
        <w:rPr>
          <w:rFonts w:hAnsi="宋体" w:hint="eastAsia"/>
        </w:rPr>
      </w:pPr>
      <w:r>
        <w:rPr>
          <w:rFonts w:hAnsi="宋体" w:hint="eastAsia"/>
        </w:rPr>
        <w:t>六、报警及保护装置一览表</w:t>
      </w:r>
    </w:p>
    <w:p w:rsidR="00705BE2" w:rsidRDefault="00705BE2" w:rsidP="00705BE2">
      <w:pPr>
        <w:pStyle w:val="a5"/>
        <w:spacing w:line="360" w:lineRule="exact"/>
        <w:rPr>
          <w:rFonts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3"/>
        <w:gridCol w:w="3004"/>
        <w:gridCol w:w="1811"/>
        <w:gridCol w:w="1886"/>
      </w:tblGrid>
      <w:tr w:rsidR="00705BE2" w:rsidTr="00D010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序号</w:t>
            </w:r>
          </w:p>
        </w:tc>
        <w:tc>
          <w:tcPr>
            <w:tcW w:w="3004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项      目</w:t>
            </w:r>
          </w:p>
        </w:tc>
        <w:tc>
          <w:tcPr>
            <w:tcW w:w="1811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声光报警</w:t>
            </w:r>
          </w:p>
        </w:tc>
        <w:tc>
          <w:tcPr>
            <w:tcW w:w="1886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自动停机</w:t>
            </w:r>
          </w:p>
        </w:tc>
      </w:tr>
      <w:tr w:rsidR="00705BE2" w:rsidTr="00D0109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2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4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5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6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7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8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9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10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11</w:t>
            </w:r>
          </w:p>
        </w:tc>
        <w:tc>
          <w:tcPr>
            <w:tcW w:w="3004" w:type="dxa"/>
          </w:tcPr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润滑油供油压力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润滑油温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电机定子绕组温度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电机轴承温度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泵吸入侧轴承温度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泵吐出侧轴承温度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泵止推轴承温度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润滑油供油压力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润滑油油箱液位（上限）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润滑油油箱液位（下限）</w:t>
            </w:r>
          </w:p>
          <w:p w:rsidR="00705BE2" w:rsidRDefault="00705BE2" w:rsidP="00D01099">
            <w:pPr>
              <w:pStyle w:val="a5"/>
              <w:spacing w:line="360" w:lineRule="exac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双联过滤器压差</w:t>
            </w:r>
          </w:p>
        </w:tc>
        <w:tc>
          <w:tcPr>
            <w:tcW w:w="1811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0.08MPa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≥</w:t>
            </w:r>
            <w:r>
              <w:rPr>
                <w:rFonts w:hAnsi="宋体"/>
              </w:rPr>
              <w:t>40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120℃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70℃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70℃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70℃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70℃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＜</w:t>
            </w:r>
            <w:r>
              <w:rPr>
                <w:rFonts w:hAnsi="宋体"/>
              </w:rPr>
              <w:t>0.08MPa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700mm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300mm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＞</w:t>
            </w:r>
            <w:r>
              <w:rPr>
                <w:rFonts w:hAnsi="宋体"/>
              </w:rPr>
              <w:t>0.1M</w:t>
            </w:r>
            <w:r>
              <w:rPr>
                <w:rFonts w:hAnsi="宋体" w:hint="eastAsia"/>
              </w:rPr>
              <w:t>P</w:t>
            </w:r>
            <w:r>
              <w:rPr>
                <w:rFonts w:hAnsi="宋体"/>
              </w:rPr>
              <w:t>a</w:t>
            </w:r>
          </w:p>
        </w:tc>
        <w:tc>
          <w:tcPr>
            <w:tcW w:w="1886" w:type="dxa"/>
            <w:vAlign w:val="center"/>
          </w:tcPr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0.05MPa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130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90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90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90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90</w:t>
            </w:r>
            <w:r>
              <w:rPr>
                <w:rFonts w:hAnsi="宋体" w:hint="eastAsia"/>
              </w:rPr>
              <w:t>℃</w:t>
            </w:r>
          </w:p>
          <w:p w:rsidR="00705BE2" w:rsidRDefault="00705BE2" w:rsidP="00D01099">
            <w:pPr>
              <w:pStyle w:val="a5"/>
              <w:spacing w:line="360" w:lineRule="exac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（备用泵自启动）</w:t>
            </w:r>
          </w:p>
        </w:tc>
      </w:tr>
    </w:tbl>
    <w:p w:rsidR="00612CA8" w:rsidRPr="00705BE2" w:rsidRDefault="00612CA8"/>
    <w:sectPr w:rsidR="00612CA8" w:rsidRPr="00705BE2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B57" w:rsidRDefault="00E17B57" w:rsidP="00705BE2">
      <w:r>
        <w:separator/>
      </w:r>
    </w:p>
  </w:endnote>
  <w:endnote w:type="continuationSeparator" w:id="1">
    <w:p w:rsidR="00E17B57" w:rsidRDefault="00E17B57" w:rsidP="00705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B57" w:rsidRDefault="00E17B57" w:rsidP="00705BE2">
      <w:r>
        <w:separator/>
      </w:r>
    </w:p>
  </w:footnote>
  <w:footnote w:type="continuationSeparator" w:id="1">
    <w:p w:rsidR="00E17B57" w:rsidRDefault="00E17B57" w:rsidP="00705B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16B7"/>
    <w:multiLevelType w:val="multilevel"/>
    <w:tmpl w:val="6AF0E142"/>
    <w:lvl w:ilvl="0">
      <w:start w:val="1"/>
      <w:numFmt w:val="lowerLetter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BE2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5BE2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17B57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B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BE2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BE2"/>
    <w:rPr>
      <w:rFonts w:eastAsia="仿宋_GB2312"/>
      <w:kern w:val="2"/>
      <w:sz w:val="18"/>
      <w:szCs w:val="18"/>
    </w:rPr>
  </w:style>
  <w:style w:type="paragraph" w:styleId="a5">
    <w:name w:val="Plain Text"/>
    <w:basedOn w:val="a"/>
    <w:link w:val="Char1"/>
    <w:semiHidden/>
    <w:rsid w:val="00705BE2"/>
    <w:rPr>
      <w:rFonts w:ascii="宋体" w:hAnsi="Courier New" w:cs="隶书"/>
      <w:szCs w:val="21"/>
    </w:rPr>
  </w:style>
  <w:style w:type="character" w:customStyle="1" w:styleId="Char1">
    <w:name w:val="纯文本 Char"/>
    <w:basedOn w:val="a0"/>
    <w:link w:val="a5"/>
    <w:semiHidden/>
    <w:rsid w:val="00705BE2"/>
    <w:rPr>
      <w:rFonts w:ascii="宋体" w:hAnsi="Courier New" w:cs="隶书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2016-09-09T01:56:00Z</dcterms:created>
  <dcterms:modified xsi:type="dcterms:W3CDTF">2016-09-09T01:58:00Z</dcterms:modified>
</cp:coreProperties>
</file>