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FA6" w:rsidRDefault="00AB5FA6" w:rsidP="00AB5FA6">
      <w:pPr>
        <w:jc w:val="center"/>
        <w:rPr>
          <w:rFonts w:hint="eastAsia"/>
          <w:sz w:val="28"/>
          <w:szCs w:val="28"/>
        </w:rPr>
      </w:pPr>
      <w:r w:rsidRPr="00AB5FA6">
        <w:rPr>
          <w:rFonts w:hint="eastAsia"/>
          <w:sz w:val="28"/>
          <w:szCs w:val="28"/>
        </w:rPr>
        <w:t>新比隆</w:t>
      </w:r>
      <w:r w:rsidRPr="00AB5FA6">
        <w:rPr>
          <w:rFonts w:hint="eastAsia"/>
          <w:sz w:val="28"/>
          <w:szCs w:val="28"/>
        </w:rPr>
        <w:t>K501</w:t>
      </w:r>
      <w:r w:rsidRPr="00AB5FA6">
        <w:rPr>
          <w:rFonts w:hint="eastAsia"/>
          <w:sz w:val="28"/>
          <w:szCs w:val="28"/>
        </w:rPr>
        <w:t>操作规程</w:t>
      </w:r>
    </w:p>
    <w:p w:rsidR="00AB5FA6" w:rsidRPr="00AB5FA6" w:rsidRDefault="00AB5FA6" w:rsidP="00AB5FA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一、</w:t>
      </w:r>
      <w:r w:rsidRPr="00AB5FA6">
        <w:rPr>
          <w:rFonts w:hint="eastAsia"/>
          <w:sz w:val="21"/>
          <w:szCs w:val="21"/>
        </w:rPr>
        <w:t>新比隆</w:t>
      </w:r>
      <w:r w:rsidRPr="00AB5FA6">
        <w:rPr>
          <w:rFonts w:hint="eastAsia"/>
          <w:sz w:val="21"/>
          <w:szCs w:val="21"/>
        </w:rPr>
        <w:t>K501</w:t>
      </w:r>
      <w:r w:rsidRPr="00AB5FA6">
        <w:rPr>
          <w:rFonts w:hint="eastAsia"/>
          <w:sz w:val="21"/>
          <w:szCs w:val="21"/>
        </w:rPr>
        <w:t>开机</w:t>
      </w:r>
    </w:p>
    <w:p w:rsidR="00AB5FA6" w:rsidRPr="00AB5FA6" w:rsidRDefault="00AB5FA6" w:rsidP="00AB5FA6">
      <w:pPr>
        <w:spacing w:line="360" w:lineRule="auto"/>
        <w:rPr>
          <w:rFonts w:hint="eastAsia"/>
          <w:sz w:val="21"/>
          <w:szCs w:val="21"/>
        </w:rPr>
      </w:pPr>
      <w:r w:rsidRPr="00AB5FA6">
        <w:rPr>
          <w:rFonts w:hint="eastAsia"/>
          <w:sz w:val="21"/>
          <w:szCs w:val="21"/>
        </w:rPr>
        <w:t>1</w:t>
      </w:r>
      <w:r w:rsidRPr="00AB5FA6">
        <w:rPr>
          <w:rFonts w:hint="eastAsia"/>
          <w:sz w:val="21"/>
          <w:szCs w:val="21"/>
        </w:rPr>
        <w:t>、开机前注意事项：</w:t>
      </w:r>
    </w:p>
    <w:p w:rsidR="00AB5FA6" w:rsidRPr="00AB5FA6" w:rsidRDefault="00AB5FA6" w:rsidP="00AB5FA6">
      <w:pPr>
        <w:spacing w:line="360" w:lineRule="auto"/>
        <w:ind w:left="1260" w:hangingChars="600" w:hanging="1260"/>
        <w:rPr>
          <w:rFonts w:asciiTheme="minorEastAsia" w:eastAsiaTheme="minorEastAsia" w:hAnsiTheme="minorEastAsia"/>
          <w:kern w:val="0"/>
          <w:sz w:val="21"/>
          <w:szCs w:val="21"/>
        </w:rPr>
      </w:pP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内/外—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［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 xml:space="preserve">  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］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检查机组循环水总阀、各支路循环水阀是否投用，检查仪表风是否正常（不低于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0.4MPa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）。电话通知总变、调度、车间负责人准备开机，做好电话记录。开启K501/1，首先要启动液压油泵。</w:t>
      </w:r>
    </w:p>
    <w:p w:rsidR="00AB5FA6" w:rsidRPr="00AB5FA6" w:rsidRDefault="00AB5FA6" w:rsidP="00AB5FA6">
      <w:pPr>
        <w:spacing w:line="360" w:lineRule="auto"/>
        <w:ind w:left="1260" w:hangingChars="600" w:hanging="1260"/>
        <w:rPr>
          <w:rFonts w:asciiTheme="minorEastAsia" w:eastAsiaTheme="minorEastAsia" w:hAnsiTheme="minorEastAsia"/>
          <w:kern w:val="0"/>
          <w:sz w:val="21"/>
          <w:szCs w:val="21"/>
        </w:rPr>
      </w:pP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内/外—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［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 xml:space="preserve">  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］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通知电修检查主电机绝缘情况，并检查主电机、辅油泵送电情况，联系内操检查主电机正压通风情况。</w:t>
      </w:r>
    </w:p>
    <w:p w:rsidR="00AB5FA6" w:rsidRPr="00AB5FA6" w:rsidRDefault="00AB5FA6" w:rsidP="00AB5FA6">
      <w:pPr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外—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［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 xml:space="preserve">  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］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启动辅油泵（不低于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0.3MPa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），利用辅油泵给轴头泵灌泵。</w:t>
      </w:r>
    </w:p>
    <w:p w:rsidR="00AB5FA6" w:rsidRPr="00AB5FA6" w:rsidRDefault="00AB5FA6" w:rsidP="00AB5FA6">
      <w:pPr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外—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［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 xml:space="preserve">  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］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主电机盘车（盘车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2-3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转），盘车应无卡涩现象。</w:t>
      </w:r>
    </w:p>
    <w:p w:rsidR="00AB5FA6" w:rsidRPr="00AB5FA6" w:rsidRDefault="00AB5FA6" w:rsidP="00AB5FA6">
      <w:pPr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外—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［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 xml:space="preserve">  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］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利用入口低氮分别给新氢机和循环级置换三次，置换结束后关闭氮气阀和出口放口阀。</w:t>
      </w:r>
    </w:p>
    <w:p w:rsidR="00AB5FA6" w:rsidRPr="00AB5FA6" w:rsidRDefault="00AB5FA6" w:rsidP="00AB5FA6">
      <w:pPr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外—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［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 xml:space="preserve">  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］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利用负荷调节器检查卸荷器活动情况，并将负荷调节器设置到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0%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位。</w:t>
      </w:r>
    </w:p>
    <w:p w:rsidR="00AB5FA6" w:rsidRPr="00AB5FA6" w:rsidRDefault="00AB5FA6" w:rsidP="00AB5FA6">
      <w:pPr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外—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［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 xml:space="preserve">  </w:t>
      </w:r>
      <w:r w:rsidRPr="00AB5FA6">
        <w:rPr>
          <w:rFonts w:asciiTheme="minorEastAsia" w:eastAsiaTheme="minorEastAsia" w:hAnsiTheme="minorEastAsia"/>
          <w:kern w:val="0"/>
          <w:sz w:val="21"/>
          <w:szCs w:val="21"/>
        </w:rPr>
        <w:t>］</w:t>
      </w:r>
      <w:r w:rsidRPr="00AB5FA6">
        <w:rPr>
          <w:rFonts w:asciiTheme="minorEastAsia" w:eastAsiaTheme="minorEastAsia" w:hAnsiTheme="minorEastAsia" w:hint="eastAsia"/>
          <w:kern w:val="0"/>
          <w:sz w:val="21"/>
          <w:szCs w:val="21"/>
        </w:rPr>
        <w:t>全开机组进、出口阀，投用机组中筒氮封，排尽级间分液罐残液后关闭。</w:t>
      </w:r>
    </w:p>
    <w:p w:rsidR="00AB5FA6" w:rsidRPr="005F3457" w:rsidRDefault="00AB5FA6" w:rsidP="00AB5FA6">
      <w:pPr>
        <w:pStyle w:val="ListParagraph"/>
        <w:ind w:firstLineChars="0" w:firstLine="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内—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5F3457">
        <w:rPr>
          <w:rFonts w:ascii="宋体" w:hAnsi="宋体" w:hint="eastAsia"/>
          <w:szCs w:val="21"/>
        </w:rPr>
        <w:t>联系机、电、仪到场做最后确认。</w:t>
      </w:r>
    </w:p>
    <w:p w:rsidR="00AB5FA6" w:rsidRPr="008B1393" w:rsidRDefault="00AB5FA6" w:rsidP="00AB5FA6">
      <w:pPr>
        <w:pStyle w:val="ListParagraph"/>
        <w:ind w:firstLineChars="0" w:firstLine="0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2、</w:t>
      </w:r>
      <w:r w:rsidRPr="008B1393">
        <w:rPr>
          <w:rFonts w:ascii="黑体" w:eastAsia="黑体" w:hAnsi="宋体" w:hint="eastAsia"/>
          <w:szCs w:val="21"/>
        </w:rPr>
        <w:t>开机步骤：</w:t>
      </w:r>
    </w:p>
    <w:p w:rsidR="00AB5FA6" w:rsidRPr="005F3457" w:rsidRDefault="00AB5FA6" w:rsidP="00AB5FA6">
      <w:pPr>
        <w:pStyle w:val="ListParagraph"/>
        <w:ind w:firstLineChars="0" w:firstLine="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内—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5F3457">
        <w:rPr>
          <w:rFonts w:ascii="宋体" w:hAnsi="宋体" w:hint="eastAsia"/>
          <w:szCs w:val="21"/>
        </w:rPr>
        <w:t>在机组开机条件画面复位停机信号、并将</w:t>
      </w:r>
      <w:r w:rsidRPr="005F3457">
        <w:rPr>
          <w:rFonts w:ascii="宋体" w:hAnsi="宋体"/>
          <w:szCs w:val="21"/>
        </w:rPr>
        <w:t>FSC</w:t>
      </w:r>
      <w:r w:rsidRPr="005F3457">
        <w:rPr>
          <w:rFonts w:ascii="宋体" w:hAnsi="宋体" w:hint="eastAsia"/>
          <w:szCs w:val="21"/>
        </w:rPr>
        <w:t>操作台复位。</w:t>
      </w:r>
    </w:p>
    <w:p w:rsidR="00AB5FA6" w:rsidRPr="005F3457" w:rsidRDefault="00AB5FA6" w:rsidP="00AB5FA6">
      <w:pPr>
        <w:pStyle w:val="ListParagraph"/>
        <w:ind w:firstLineChars="0" w:firstLine="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内—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5F3457">
        <w:rPr>
          <w:rFonts w:ascii="宋体" w:hAnsi="宋体" w:hint="eastAsia"/>
          <w:szCs w:val="21"/>
        </w:rPr>
        <w:t>检查开机条件是否达到，允许开机灯变绿。</w:t>
      </w:r>
    </w:p>
    <w:p w:rsidR="00AB5FA6" w:rsidRPr="005F3457" w:rsidRDefault="00AB5FA6" w:rsidP="00AB5FA6">
      <w:pPr>
        <w:pStyle w:val="ListParagraph"/>
        <w:ind w:firstLineChars="0" w:firstLine="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5F3457">
        <w:rPr>
          <w:rFonts w:ascii="宋体" w:hAnsi="宋体" w:hint="eastAsia"/>
          <w:szCs w:val="21"/>
        </w:rPr>
        <w:t>启动主电机，将辅油泵切换至主油泵，检查油压是否正常。</w:t>
      </w:r>
    </w:p>
    <w:p w:rsidR="00AB5FA6" w:rsidRPr="005F3457" w:rsidRDefault="00AB5FA6" w:rsidP="00AB5FA6">
      <w:pPr>
        <w:pStyle w:val="ListParagraph"/>
        <w:ind w:firstLineChars="0" w:firstLine="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5F3457">
        <w:rPr>
          <w:rFonts w:ascii="宋体" w:hAnsi="宋体" w:hint="eastAsia"/>
          <w:szCs w:val="21"/>
        </w:rPr>
        <w:t>现场确认正常后逐步加载（</w:t>
      </w:r>
      <w:r w:rsidRPr="005F3457">
        <w:rPr>
          <w:rFonts w:ascii="宋体" w:hAnsi="宋体"/>
          <w:szCs w:val="21"/>
        </w:rPr>
        <w:t>0%-50%-100%</w:t>
      </w:r>
      <w:r w:rsidRPr="005F3457">
        <w:rPr>
          <w:rFonts w:ascii="宋体" w:hAnsi="宋体" w:hint="eastAsia"/>
          <w:szCs w:val="21"/>
        </w:rPr>
        <w:t>）至满负荷。</w:t>
      </w:r>
    </w:p>
    <w:p w:rsidR="00AB5FA6" w:rsidRDefault="00AB5FA6" w:rsidP="00AB5FA6">
      <w:pPr>
        <w:pStyle w:val="ListParagraph"/>
        <w:ind w:left="1260" w:hangingChars="600" w:hanging="1260"/>
        <w:rPr>
          <w:rFonts w:ascii="宋体" w:hAnsi="宋体" w:hint="eastAsia"/>
          <w:szCs w:val="21"/>
        </w:rPr>
      </w:pPr>
      <w:r w:rsidRPr="005F3457">
        <w:rPr>
          <w:rFonts w:hAnsi="宋体" w:hint="eastAsia"/>
          <w:szCs w:val="21"/>
        </w:rPr>
        <w:t>内</w:t>
      </w:r>
      <w:r w:rsidRPr="005F3457">
        <w:rPr>
          <w:rFonts w:hAnsi="宋体" w:hint="eastAsia"/>
          <w:szCs w:val="21"/>
        </w:rPr>
        <w:t>/</w:t>
      </w: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5F3457">
        <w:rPr>
          <w:rFonts w:ascii="宋体" w:hAnsi="宋体" w:hint="eastAsia"/>
          <w:szCs w:val="21"/>
        </w:rPr>
        <w:t>检查机组运行情况，包括油温、油压、注油、回水、瓦温、各级进排气压力、温度、振动、噪音、电机电流等情况是否正常。有问题及时通知调整。</w:t>
      </w:r>
    </w:p>
    <w:p w:rsidR="00AB5FA6" w:rsidRPr="008B1393" w:rsidRDefault="00AB5FA6" w:rsidP="00AB5FA6">
      <w:pPr>
        <w:pStyle w:val="ListParagraph"/>
        <w:ind w:firstLineChars="0" w:firstLine="0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二、新</w:t>
      </w:r>
      <w:r w:rsidRPr="008B1393">
        <w:rPr>
          <w:rFonts w:ascii="黑体" w:eastAsia="黑体" w:hAnsi="宋体" w:hint="eastAsia"/>
          <w:szCs w:val="21"/>
        </w:rPr>
        <w:t>比隆K501/1切换至K501/2</w:t>
      </w:r>
    </w:p>
    <w:p w:rsidR="00AB5FA6" w:rsidRPr="008244DB" w:rsidRDefault="00AB5FA6" w:rsidP="00AB5FA6">
      <w:pPr>
        <w:pStyle w:val="ListParagraph"/>
        <w:ind w:firstLineChars="0" w:firstLine="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>
        <w:rPr>
          <w:rFonts w:ascii="宋体" w:hint="eastAsia"/>
          <w:szCs w:val="21"/>
        </w:rPr>
        <w:t>切换前检查外</w:t>
      </w:r>
      <w:r w:rsidRPr="008244DB">
        <w:rPr>
          <w:rFonts w:ascii="宋体" w:hint="eastAsia"/>
          <w:szCs w:val="21"/>
        </w:rPr>
        <w:t>送氢气流程。</w:t>
      </w:r>
    </w:p>
    <w:p w:rsidR="00AB5FA6" w:rsidRPr="008244DB" w:rsidRDefault="00AB5FA6" w:rsidP="00AB5FA6">
      <w:pPr>
        <w:pStyle w:val="ListParagraph"/>
        <w:ind w:firstLineChars="0" w:firstLine="0"/>
        <w:rPr>
          <w:rFonts w:ascii="宋体" w:hint="eastAsia"/>
          <w:szCs w:val="21"/>
        </w:rPr>
      </w:pPr>
      <w:r w:rsidRPr="005F3457">
        <w:rPr>
          <w:rFonts w:hAnsi="宋体" w:hint="eastAsia"/>
          <w:szCs w:val="21"/>
        </w:rPr>
        <w:t>内</w:t>
      </w:r>
      <w:r w:rsidRPr="005F3457">
        <w:rPr>
          <w:rFonts w:hAnsi="宋体" w:hint="eastAsia"/>
          <w:szCs w:val="21"/>
        </w:rPr>
        <w:t>/</w:t>
      </w: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>
        <w:rPr>
          <w:rFonts w:ascii="宋体" w:hAnsi="宋体" w:hint="eastAsia"/>
          <w:szCs w:val="21"/>
        </w:rPr>
        <w:t>按上述步骤正常开机</w:t>
      </w:r>
    </w:p>
    <w:p w:rsidR="00AB5FA6" w:rsidRPr="008244DB" w:rsidRDefault="00AB5FA6" w:rsidP="00AB5FA6">
      <w:pPr>
        <w:pStyle w:val="ListParagraph"/>
        <w:ind w:left="1260" w:hangingChars="600" w:hanging="126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内</w:t>
      </w:r>
      <w:r w:rsidRPr="005F3457">
        <w:rPr>
          <w:rFonts w:hAnsi="宋体" w:hint="eastAsia"/>
          <w:szCs w:val="21"/>
        </w:rPr>
        <w:t>/</w:t>
      </w: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8244DB">
        <w:rPr>
          <w:rFonts w:ascii="宋体"/>
          <w:szCs w:val="21"/>
        </w:rPr>
        <w:t>K501/1</w:t>
      </w:r>
      <w:r>
        <w:rPr>
          <w:rFonts w:ascii="宋体" w:hint="eastAsia"/>
          <w:szCs w:val="21"/>
        </w:rPr>
        <w:t>无极气量调节改手动。避免</w:t>
      </w:r>
      <w:r w:rsidRPr="008244DB">
        <w:rPr>
          <w:rFonts w:ascii="宋体" w:hint="eastAsia"/>
          <w:szCs w:val="21"/>
        </w:rPr>
        <w:t>波动太大，将</w:t>
      </w:r>
      <w:r w:rsidRPr="008244DB">
        <w:rPr>
          <w:rFonts w:ascii="宋体"/>
          <w:szCs w:val="21"/>
        </w:rPr>
        <w:t>1#</w:t>
      </w:r>
      <w:r w:rsidRPr="008244DB">
        <w:rPr>
          <w:rFonts w:ascii="宋体" w:hint="eastAsia"/>
          <w:szCs w:val="21"/>
        </w:rPr>
        <w:t>机负荷手动调节至</w:t>
      </w:r>
      <w:r w:rsidRPr="008244DB">
        <w:rPr>
          <w:rFonts w:ascii="宋体"/>
          <w:szCs w:val="21"/>
        </w:rPr>
        <w:t>90%</w:t>
      </w:r>
      <w:r w:rsidRPr="008244DB">
        <w:rPr>
          <w:rFonts w:ascii="宋体" w:hint="eastAsia"/>
          <w:szCs w:val="21"/>
        </w:rPr>
        <w:t>左右，利用三返一及副线，控制系统压力不大幅波动。</w:t>
      </w:r>
    </w:p>
    <w:p w:rsidR="00AB5FA6" w:rsidRPr="008244DB" w:rsidRDefault="00AB5FA6" w:rsidP="00AB5FA6">
      <w:pPr>
        <w:pStyle w:val="ListParagraph"/>
        <w:ind w:left="1260" w:hangingChars="600" w:hanging="126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内</w:t>
      </w:r>
      <w:r w:rsidRPr="005F3457">
        <w:rPr>
          <w:rFonts w:hAnsi="宋体" w:hint="eastAsia"/>
          <w:szCs w:val="21"/>
        </w:rPr>
        <w:t>/</w:t>
      </w: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8244DB">
        <w:rPr>
          <w:rFonts w:ascii="宋体" w:hAnsi="宋体" w:hint="eastAsia"/>
          <w:szCs w:val="21"/>
        </w:rPr>
        <w:t>现场确认</w:t>
      </w:r>
      <w:r w:rsidRPr="008244DB">
        <w:rPr>
          <w:rFonts w:ascii="宋体" w:hAnsi="宋体"/>
          <w:szCs w:val="21"/>
        </w:rPr>
        <w:t>K501/2</w:t>
      </w:r>
      <w:r w:rsidRPr="008244DB">
        <w:rPr>
          <w:rFonts w:ascii="宋体" w:hAnsi="宋体" w:hint="eastAsia"/>
          <w:szCs w:val="21"/>
        </w:rPr>
        <w:t>正常后逐步加载循环级（</w:t>
      </w:r>
      <w:r w:rsidRPr="008244DB">
        <w:rPr>
          <w:rFonts w:ascii="宋体" w:hAnsi="宋体"/>
          <w:szCs w:val="21"/>
        </w:rPr>
        <w:t>0%-50%-100%</w:t>
      </w:r>
      <w:r w:rsidRPr="008244DB">
        <w:rPr>
          <w:rFonts w:ascii="宋体" w:hAnsi="宋体" w:hint="eastAsia"/>
          <w:szCs w:val="21"/>
        </w:rPr>
        <w:t>）至满负荷，相应</w:t>
      </w:r>
      <w:r w:rsidRPr="008244DB">
        <w:rPr>
          <w:rFonts w:ascii="宋体" w:hAnsi="宋体"/>
          <w:szCs w:val="21"/>
        </w:rPr>
        <w:t>K501/1</w:t>
      </w:r>
      <w:r w:rsidRPr="008244DB">
        <w:rPr>
          <w:rFonts w:ascii="宋体" w:hAnsi="宋体" w:hint="eastAsia"/>
          <w:szCs w:val="21"/>
        </w:rPr>
        <w:t>循环级降负荷。</w:t>
      </w:r>
    </w:p>
    <w:p w:rsidR="00AB5FA6" w:rsidRPr="008244DB" w:rsidRDefault="00AB5FA6" w:rsidP="00AB5FA6">
      <w:pPr>
        <w:pStyle w:val="ListParagraph"/>
        <w:ind w:left="1260" w:hangingChars="600" w:hanging="126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内</w:t>
      </w:r>
      <w:r w:rsidRPr="005F3457">
        <w:rPr>
          <w:rFonts w:hAnsi="宋体" w:hint="eastAsia"/>
          <w:szCs w:val="21"/>
        </w:rPr>
        <w:t>/</w:t>
      </w: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8244DB">
        <w:rPr>
          <w:rFonts w:ascii="宋体" w:hint="eastAsia"/>
          <w:szCs w:val="21"/>
        </w:rPr>
        <w:t>检查运行正常后，将</w:t>
      </w:r>
      <w:r w:rsidRPr="008244DB">
        <w:rPr>
          <w:rFonts w:ascii="宋体"/>
          <w:szCs w:val="21"/>
        </w:rPr>
        <w:t>2#</w:t>
      </w:r>
      <w:r w:rsidRPr="008244DB">
        <w:rPr>
          <w:rFonts w:ascii="宋体" w:hint="eastAsia"/>
          <w:szCs w:val="21"/>
        </w:rPr>
        <w:t>机新氢级负荷加载至</w:t>
      </w:r>
      <w:r w:rsidRPr="008244DB">
        <w:rPr>
          <w:rFonts w:ascii="宋体"/>
          <w:szCs w:val="21"/>
        </w:rPr>
        <w:t>50%</w:t>
      </w:r>
      <w:r w:rsidRPr="008244DB">
        <w:rPr>
          <w:rFonts w:ascii="宋体" w:hint="eastAsia"/>
          <w:szCs w:val="21"/>
        </w:rPr>
        <w:t>，迅速将</w:t>
      </w:r>
      <w:r w:rsidRPr="008244DB">
        <w:rPr>
          <w:rFonts w:ascii="宋体"/>
          <w:szCs w:val="21"/>
        </w:rPr>
        <w:t>1#</w:t>
      </w:r>
      <w:r w:rsidRPr="008244DB">
        <w:rPr>
          <w:rFonts w:ascii="宋体" w:hint="eastAsia"/>
          <w:szCs w:val="21"/>
        </w:rPr>
        <w:t>机负荷按一级、</w:t>
      </w:r>
      <w:r w:rsidRPr="008244DB">
        <w:rPr>
          <w:rFonts w:ascii="宋体" w:hint="eastAsia"/>
          <w:szCs w:val="21"/>
        </w:rPr>
        <w:lastRenderedPageBreak/>
        <w:t>二级、三级顺序，手动输入</w:t>
      </w:r>
      <w:r w:rsidRPr="008244DB">
        <w:rPr>
          <w:rFonts w:ascii="宋体"/>
          <w:szCs w:val="21"/>
        </w:rPr>
        <w:t xml:space="preserve">50% </w:t>
      </w:r>
      <w:r w:rsidRPr="008244DB">
        <w:rPr>
          <w:rFonts w:ascii="宋体" w:hint="eastAsia"/>
          <w:szCs w:val="21"/>
        </w:rPr>
        <w:t>。检查机组运行无异常后，继续将</w:t>
      </w:r>
      <w:r w:rsidRPr="008244DB">
        <w:rPr>
          <w:rFonts w:ascii="宋体"/>
          <w:szCs w:val="21"/>
        </w:rPr>
        <w:t>2#</w:t>
      </w:r>
      <w:r w:rsidRPr="008244DB">
        <w:rPr>
          <w:rFonts w:ascii="宋体" w:hint="eastAsia"/>
          <w:szCs w:val="21"/>
        </w:rPr>
        <w:t>加载至</w:t>
      </w:r>
      <w:r w:rsidRPr="008244DB">
        <w:rPr>
          <w:rFonts w:ascii="宋体"/>
          <w:szCs w:val="21"/>
        </w:rPr>
        <w:t>100%</w:t>
      </w:r>
      <w:r w:rsidRPr="008244DB">
        <w:rPr>
          <w:rFonts w:ascii="宋体" w:hint="eastAsia"/>
          <w:szCs w:val="21"/>
        </w:rPr>
        <w:t>，</w:t>
      </w:r>
      <w:r w:rsidRPr="008244DB">
        <w:rPr>
          <w:rFonts w:ascii="宋体"/>
          <w:szCs w:val="21"/>
        </w:rPr>
        <w:t>1#</w:t>
      </w:r>
      <w:r w:rsidRPr="008244DB">
        <w:rPr>
          <w:rFonts w:ascii="宋体" w:hint="eastAsia"/>
          <w:szCs w:val="21"/>
        </w:rPr>
        <w:t>负荷降至</w:t>
      </w:r>
      <w:r w:rsidRPr="008244DB">
        <w:rPr>
          <w:rFonts w:ascii="宋体"/>
          <w:szCs w:val="21"/>
        </w:rPr>
        <w:t>0%</w:t>
      </w:r>
      <w:r w:rsidRPr="008244DB">
        <w:rPr>
          <w:rFonts w:ascii="宋体" w:hint="eastAsia"/>
          <w:szCs w:val="21"/>
        </w:rPr>
        <w:t>。</w:t>
      </w:r>
    </w:p>
    <w:p w:rsidR="00AB5FA6" w:rsidRPr="008244DB" w:rsidRDefault="00AB5FA6" w:rsidP="00AB5FA6">
      <w:pPr>
        <w:pStyle w:val="ListParagraph"/>
        <w:ind w:firstLineChars="0" w:firstLine="0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8244DB">
        <w:rPr>
          <w:rFonts w:ascii="宋体"/>
          <w:szCs w:val="21"/>
        </w:rPr>
        <w:t>1#</w:t>
      </w:r>
      <w:r w:rsidRPr="008244DB">
        <w:rPr>
          <w:rFonts w:ascii="宋体" w:hint="eastAsia"/>
          <w:szCs w:val="21"/>
        </w:rPr>
        <w:t>机若检修，则关闭出入口阀，停液压油站，置换，待修。</w:t>
      </w:r>
    </w:p>
    <w:p w:rsidR="00AB5FA6" w:rsidRPr="008244DB" w:rsidRDefault="00AB5FA6" w:rsidP="00AB5FA6">
      <w:pPr>
        <w:pStyle w:val="ListParagraph"/>
        <w:ind w:left="1155" w:hangingChars="550" w:hanging="1155"/>
        <w:rPr>
          <w:rFonts w:ascii="宋体"/>
          <w:szCs w:val="21"/>
        </w:rPr>
      </w:pPr>
      <w:r w:rsidRPr="005F3457">
        <w:rPr>
          <w:rFonts w:hAnsi="宋体" w:hint="eastAsia"/>
          <w:szCs w:val="21"/>
        </w:rPr>
        <w:t>内</w:t>
      </w:r>
      <w:r w:rsidRPr="005F3457">
        <w:rPr>
          <w:rFonts w:hAnsi="宋体" w:hint="eastAsia"/>
          <w:szCs w:val="21"/>
        </w:rPr>
        <w:t>/</w:t>
      </w:r>
      <w:r w:rsidRPr="005F3457">
        <w:rPr>
          <w:rFonts w:hAnsi="宋体" w:hint="eastAsia"/>
          <w:szCs w:val="21"/>
        </w:rPr>
        <w:t>外—</w:t>
      </w:r>
      <w:r w:rsidRPr="005F3457">
        <w:rPr>
          <w:szCs w:val="21"/>
        </w:rPr>
        <w:t>［</w:t>
      </w:r>
      <w:r w:rsidRPr="005F3457">
        <w:rPr>
          <w:rFonts w:hint="eastAsia"/>
          <w:szCs w:val="21"/>
        </w:rPr>
        <w:t xml:space="preserve">  </w:t>
      </w:r>
      <w:r w:rsidRPr="005F3457">
        <w:rPr>
          <w:szCs w:val="21"/>
        </w:rPr>
        <w:t>］</w:t>
      </w:r>
      <w:r w:rsidRPr="008244DB">
        <w:rPr>
          <w:rFonts w:ascii="宋体" w:hAnsi="宋体" w:hint="eastAsia"/>
          <w:szCs w:val="21"/>
        </w:rPr>
        <w:t>检查机组运行情况，包括油温、油压、注油、回水、瓦温、各级进排气压力、温度、振动、噪音、电机电流等情况是否正常。有问题及时通知调整。</w:t>
      </w:r>
    </w:p>
    <w:p w:rsidR="00AB5FA6" w:rsidRPr="00AB5FA6" w:rsidRDefault="00AB5FA6" w:rsidP="00AB5FA6">
      <w:pPr>
        <w:rPr>
          <w:sz w:val="28"/>
          <w:szCs w:val="28"/>
        </w:rPr>
      </w:pPr>
    </w:p>
    <w:sectPr w:rsidR="00AB5FA6" w:rsidRPr="00AB5FA6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782" w:rsidRDefault="00A77782" w:rsidP="00AB5FA6">
      <w:r>
        <w:separator/>
      </w:r>
    </w:p>
  </w:endnote>
  <w:endnote w:type="continuationSeparator" w:id="1">
    <w:p w:rsidR="00A77782" w:rsidRDefault="00A77782" w:rsidP="00AB5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782" w:rsidRDefault="00A77782" w:rsidP="00AB5FA6">
      <w:r>
        <w:separator/>
      </w:r>
    </w:p>
  </w:footnote>
  <w:footnote w:type="continuationSeparator" w:id="1">
    <w:p w:rsidR="00A77782" w:rsidRDefault="00A77782" w:rsidP="00AB5F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12D6072A"/>
    <w:lvl w:ilvl="0">
      <w:start w:val="1"/>
      <w:numFmt w:val="decimal"/>
      <w:pStyle w:val="Char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.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609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FA6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77782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13B"/>
    <w:rsid w:val="00AB1B22"/>
    <w:rsid w:val="00AB1C1B"/>
    <w:rsid w:val="00AB21DC"/>
    <w:rsid w:val="00AB3294"/>
    <w:rsid w:val="00AB38C6"/>
    <w:rsid w:val="00AB4A3E"/>
    <w:rsid w:val="00AB5959"/>
    <w:rsid w:val="00AB5FA6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0"/>
    <w:uiPriority w:val="99"/>
    <w:semiHidden/>
    <w:unhideWhenUsed/>
    <w:rsid w:val="00AB5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4"/>
    <w:link w:val="a7"/>
    <w:uiPriority w:val="99"/>
    <w:semiHidden/>
    <w:rsid w:val="00AB5FA6"/>
    <w:rPr>
      <w:rFonts w:eastAsia="仿宋_GB2312"/>
      <w:kern w:val="2"/>
      <w:sz w:val="18"/>
      <w:szCs w:val="18"/>
    </w:rPr>
  </w:style>
  <w:style w:type="paragraph" w:styleId="a8">
    <w:name w:val="footer"/>
    <w:basedOn w:val="a3"/>
    <w:link w:val="Char1"/>
    <w:uiPriority w:val="99"/>
    <w:semiHidden/>
    <w:unhideWhenUsed/>
    <w:rsid w:val="00AB5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4"/>
    <w:link w:val="a8"/>
    <w:uiPriority w:val="99"/>
    <w:semiHidden/>
    <w:rsid w:val="00AB5FA6"/>
    <w:rPr>
      <w:rFonts w:eastAsia="仿宋_GB2312"/>
      <w:kern w:val="2"/>
      <w:sz w:val="18"/>
      <w:szCs w:val="18"/>
    </w:rPr>
  </w:style>
  <w:style w:type="paragraph" w:customStyle="1" w:styleId="a">
    <w:name w:val="一级条标题"/>
    <w:next w:val="a3"/>
    <w:link w:val="Char"/>
    <w:rsid w:val="00AB5FA6"/>
    <w:pPr>
      <w:numPr>
        <w:ilvl w:val="1"/>
        <w:numId w:val="1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character" w:customStyle="1" w:styleId="Char">
    <w:name w:val="一级条标题 Char"/>
    <w:basedOn w:val="a4"/>
    <w:link w:val="a"/>
    <w:locked/>
    <w:rsid w:val="00AB5FA6"/>
    <w:rPr>
      <w:rFonts w:ascii="黑体" w:eastAsia="黑体"/>
      <w:sz w:val="21"/>
      <w:szCs w:val="21"/>
    </w:rPr>
  </w:style>
  <w:style w:type="paragraph" w:customStyle="1" w:styleId="a0">
    <w:name w:val="二级条标题"/>
    <w:basedOn w:val="a"/>
    <w:next w:val="a3"/>
    <w:rsid w:val="00AB5FA6"/>
    <w:pPr>
      <w:numPr>
        <w:ilvl w:val="2"/>
      </w:numPr>
      <w:tabs>
        <w:tab w:val="num" w:pos="360"/>
      </w:tabs>
      <w:spacing w:before="50" w:after="50"/>
      <w:ind w:left="609"/>
      <w:outlineLvl w:val="3"/>
    </w:pPr>
  </w:style>
  <w:style w:type="paragraph" w:customStyle="1" w:styleId="a1">
    <w:name w:val="三级条标题"/>
    <w:basedOn w:val="a0"/>
    <w:next w:val="a3"/>
    <w:rsid w:val="00AB5FA6"/>
    <w:pPr>
      <w:numPr>
        <w:ilvl w:val="4"/>
      </w:numPr>
      <w:tabs>
        <w:tab w:val="num" w:pos="360"/>
      </w:tabs>
      <w:ind w:left="609"/>
      <w:outlineLvl w:val="4"/>
    </w:pPr>
  </w:style>
  <w:style w:type="paragraph" w:customStyle="1" w:styleId="a2">
    <w:name w:val="四级条标题"/>
    <w:basedOn w:val="a1"/>
    <w:next w:val="a3"/>
    <w:rsid w:val="00AB5FA6"/>
    <w:pPr>
      <w:numPr>
        <w:ilvl w:val="5"/>
      </w:numPr>
      <w:tabs>
        <w:tab w:val="num" w:pos="360"/>
      </w:tabs>
      <w:outlineLvl w:val="5"/>
    </w:pPr>
  </w:style>
  <w:style w:type="paragraph" w:customStyle="1" w:styleId="ListParagraph">
    <w:name w:val="List Paragraph"/>
    <w:basedOn w:val="a3"/>
    <w:rsid w:val="00AB5FA6"/>
    <w:pPr>
      <w:spacing w:line="360" w:lineRule="auto"/>
      <w:ind w:firstLineChars="200" w:firstLine="420"/>
    </w:pPr>
    <w:rPr>
      <w:rFonts w:ascii="Calibri" w:eastAsia="宋体" w:hAnsi="Calibri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2016-09-09T01:01:00Z</dcterms:created>
  <dcterms:modified xsi:type="dcterms:W3CDTF">2016-09-09T01:03:00Z</dcterms:modified>
</cp:coreProperties>
</file>