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7243" w14:textId="77777777" w:rsidR="009D7E85" w:rsidRDefault="00E2458C">
      <w:pPr>
        <w:pStyle w:val="Heading1"/>
      </w:pPr>
      <w:r>
        <w:t>Summary: demographic pathways analysis for the 2026 ASA DataQuest</w:t>
      </w:r>
    </w:p>
    <w:p w14:paraId="573652E6" w14:textId="77777777" w:rsidR="009D7E85" w:rsidRDefault="00E2458C">
      <w:r>
        <w:rPr>
          <w:i/>
        </w:rPr>
        <w:t>Prepared 11 October 2026 · UN World Population Prospects 2024 · Python notebook and six-slide deck</w:t>
      </w:r>
    </w:p>
    <w:p w14:paraId="5A17243C" w14:textId="77777777" w:rsidR="009D7E85" w:rsidRDefault="00E2458C">
      <w:pPr>
        <w:pStyle w:val="Heading2"/>
      </w:pPr>
      <w:r>
        <w:t>30-second version</w:t>
      </w:r>
    </w:p>
    <w:p w14:paraId="44D5F41A" w14:textId="77777777" w:rsidR="009D7E85" w:rsidRDefault="00E2458C">
      <w:r>
        <w:t xml:space="preserve">We used the UN World Population Prospects 2024 data to ask how many distinct demographic pathways countries have followed since 1950, how robust those groups are, and how uncertain their futures are. Countries lie along one dominant ‘transition’ axis. K-means groups on it are very stable (two groups) or stable apart from a few borderline countries (three groups). Projected fertility gaps close, but life-expectancy gaps at age 60 widen. We locked the analysis plan before modelling and </w:t>
      </w:r>
      <w:proofErr w:type="gramStart"/>
      <w:r>
        <w:t>report</w:t>
      </w:r>
      <w:proofErr w:type="gramEnd"/>
      <w:r>
        <w:t xml:space="preserve"> which results are post hoc.</w:t>
      </w:r>
    </w:p>
    <w:p w14:paraId="5F026F45" w14:textId="77777777" w:rsidR="009D7E85" w:rsidRDefault="00E2458C">
      <w:pPr>
        <w:pStyle w:val="Heading2"/>
      </w:pPr>
      <w:r>
        <w:t>Goal and context</w:t>
      </w:r>
    </w:p>
    <w:p w14:paraId="7B73A47F" w14:textId="77777777" w:rsidR="009D7E85" w:rsidRDefault="00E2458C">
      <w:pPr>
        <w:pStyle w:val="ListParagraph"/>
        <w:numPr>
          <w:ilvl w:val="0"/>
          <w:numId w:val="2"/>
        </w:numPr>
      </w:pPr>
      <w:r>
        <w:rPr>
          <w:b/>
        </w:rPr>
        <w:t>Competition:</w:t>
      </w:r>
      <w:r>
        <w:t xml:space="preserve"> the 2026 ASA International DataQuest, judged on data visualization (35%), ethics (30%) and statistical insight (35%).</w:t>
      </w:r>
    </w:p>
    <w:p w14:paraId="1E7A94B3" w14:textId="77777777" w:rsidR="009D7E85" w:rsidRDefault="00E2458C">
      <w:pPr>
        <w:pStyle w:val="ListParagraph"/>
        <w:numPr>
          <w:ilvl w:val="0"/>
          <w:numId w:val="2"/>
        </w:numPr>
      </w:pPr>
      <w:r>
        <w:rPr>
          <w:b/>
        </w:rPr>
        <w:t>Deliverables:</w:t>
      </w:r>
      <w:r>
        <w:t xml:space="preserve"> a six-slide PowerPoint (cover, four content slides, references), a video of at most 5 minutes, and a Python notebook.</w:t>
      </w:r>
    </w:p>
    <w:p w14:paraId="5FA7548B" w14:textId="77777777" w:rsidR="009D7E85" w:rsidRDefault="00E2458C">
      <w:pPr>
        <w:pStyle w:val="ListParagraph"/>
        <w:numPr>
          <w:ilvl w:val="0"/>
          <w:numId w:val="2"/>
        </w:numPr>
      </w:pPr>
      <w:r>
        <w:rPr>
          <w:b/>
        </w:rPr>
        <w:t>Main question:</w:t>
      </w:r>
      <w:r>
        <w:t xml:space="preserve"> how many pathways exist, which countries are converging or diverging, and how robust the groups are to modelling choices and projection uncertainty.</w:t>
      </w:r>
    </w:p>
    <w:p w14:paraId="31633735" w14:textId="77777777" w:rsidR="009D7E85" w:rsidRDefault="00E2458C">
      <w:pPr>
        <w:pStyle w:val="Heading2"/>
      </w:pPr>
      <w:r>
        <w:t>Data</w:t>
      </w:r>
    </w:p>
    <w:p w14:paraId="4649B682" w14:textId="77777777" w:rsidR="009D7E85" w:rsidRDefault="00E2458C">
      <w:pPr>
        <w:pStyle w:val="ListParagraph"/>
        <w:numPr>
          <w:ilvl w:val="0"/>
          <w:numId w:val="3"/>
        </w:numPr>
      </w:pPr>
      <w:r>
        <w:t>UN WPP 2024 Medium variant, the DataQuest supplement (life expectancy at 60, births by sex) and the OtherVariants file (probability intervals).</w:t>
      </w:r>
    </w:p>
    <w:p w14:paraId="14EB734B" w14:textId="77777777" w:rsidR="009D7E85" w:rsidRDefault="00E2458C">
      <w:pPr>
        <w:pStyle w:val="ListParagraph"/>
        <w:numPr>
          <w:ilvl w:val="0"/>
          <w:numId w:val="3"/>
        </w:numPr>
      </w:pPr>
      <w:r>
        <w:t>237 countries and areas in the file; 236 analysed (the Holy See has no supplement data). 1950–2100, with estimates to 2023 and projections after.</w:t>
      </w:r>
    </w:p>
    <w:p w14:paraId="27B2C476" w14:textId="77777777" w:rsidR="009D7E85" w:rsidRDefault="00E2458C">
      <w:pPr>
        <w:pStyle w:val="ListParagraph"/>
        <w:numPr>
          <w:ilvl w:val="0"/>
          <w:numId w:val="3"/>
        </w:numPr>
      </w:pPr>
      <w:r>
        <w:rPr>
          <w:b/>
        </w:rPr>
        <w:t>Primary set:</w:t>
      </w:r>
      <w:r>
        <w:t xml:space="preserve"> 200 countries and areas with at least 100,000 people. The 36 smaller ones were assigned to the nearest group afterwards.</w:t>
      </w:r>
    </w:p>
    <w:p w14:paraId="1027AFE6" w14:textId="77777777" w:rsidR="009D7E85" w:rsidRDefault="00E2458C">
      <w:pPr>
        <w:pStyle w:val="Heading2"/>
      </w:pPr>
      <w:r>
        <w:t>Method</w:t>
      </w:r>
    </w:p>
    <w:p w14:paraId="5D93B38A" w14:textId="77777777" w:rsidR="009D7E85" w:rsidRDefault="00E2458C">
      <w:pPr>
        <w:pStyle w:val="ListParagraph"/>
        <w:numPr>
          <w:ilvl w:val="0"/>
          <w:numId w:val="4"/>
        </w:numPr>
      </w:pPr>
      <w:r>
        <w:rPr>
          <w:b/>
        </w:rPr>
        <w:t>Data audit:</w:t>
      </w:r>
      <w:r>
        <w:t xml:space="preserve"> filtered to countries only (aggregates would double-count; country totals match the World row), merged the supplement, flagged estimate vs projection years, documented missing values, and wrote a data card.</w:t>
      </w:r>
    </w:p>
    <w:p w14:paraId="065B9CB0" w14:textId="77777777" w:rsidR="009D7E85" w:rsidRDefault="00E2458C">
      <w:pPr>
        <w:pStyle w:val="ListParagraph"/>
        <w:numPr>
          <w:ilvl w:val="0"/>
          <w:numId w:val="4"/>
        </w:numPr>
      </w:pPr>
      <w:r>
        <w:rPr>
          <w:b/>
        </w:rPr>
        <w:t>Plan locked on 9 October 2026, before any modelling,</w:t>
      </w:r>
      <w:r>
        <w:t xml:space="preserve"> with hypotheses, features, decision rules and a dated addendum log under Git.</w:t>
      </w:r>
    </w:p>
    <w:p w14:paraId="0396C077" w14:textId="77777777" w:rsidR="009D7E85" w:rsidRDefault="00E2458C">
      <w:pPr>
        <w:pStyle w:val="ListParagraph"/>
        <w:numPr>
          <w:ilvl w:val="0"/>
          <w:numId w:val="4"/>
        </w:numPr>
      </w:pPr>
      <w:r>
        <w:rPr>
          <w:b/>
        </w:rPr>
        <w:t>Features:</w:t>
      </w:r>
      <w:r>
        <w:t xml:space="preserve"> decade medians (1950s–2010s) of fertility (TFR), life expectancy at birth and life expectancy at 60. That is 21 features, </w:t>
      </w:r>
      <w:proofErr w:type="gramStart"/>
      <w:r>
        <w:t>z-scored</w:t>
      </w:r>
      <w:proofErr w:type="gramEnd"/>
      <w:r>
        <w:t>. Median age and net migration were held out for validation, not used to form the groups.</w:t>
      </w:r>
    </w:p>
    <w:p w14:paraId="4962555E" w14:textId="77777777" w:rsidR="009D7E85" w:rsidRDefault="00E2458C">
      <w:pPr>
        <w:pStyle w:val="ListParagraph"/>
        <w:numPr>
          <w:ilvl w:val="0"/>
          <w:numId w:val="4"/>
        </w:numPr>
      </w:pPr>
      <w:r>
        <w:rPr>
          <w:b/>
        </w:rPr>
        <w:t>PCA</w:t>
      </w:r>
      <w:r>
        <w:t xml:space="preserve"> (3 components, 91.8% of variance; PC1 alone 78.6%), then </w:t>
      </w:r>
      <w:r>
        <w:rPr>
          <w:b/>
        </w:rPr>
        <w:t>k-means, Ward and Gaussian mixture</w:t>
      </w:r>
      <w:r>
        <w:t xml:space="preserve"> for k = 2–10.</w:t>
      </w:r>
    </w:p>
    <w:p w14:paraId="5C71E391" w14:textId="77777777" w:rsidR="009D7E85" w:rsidRDefault="00E2458C">
      <w:pPr>
        <w:pStyle w:val="ListParagraph"/>
        <w:numPr>
          <w:ilvl w:val="0"/>
          <w:numId w:val="4"/>
        </w:numPr>
      </w:pPr>
      <w:r>
        <w:rPr>
          <w:b/>
        </w:rPr>
        <w:lastRenderedPageBreak/>
        <w:t>Choosing k:</w:t>
      </w:r>
      <w:r>
        <w:t xml:space="preserve"> a rule fixed in advance. A group is eligible if its silhouette is at least 0.25 and its smallest cluster is at least 5%; among eligible options, the one with the highest median bootstrap ARI wins (500 resamples). It gave k-means with k = 2 as primary and k = 3 as the finer partition.</w:t>
      </w:r>
    </w:p>
    <w:p w14:paraId="18342B83" w14:textId="77777777" w:rsidR="009D7E85" w:rsidRDefault="00E2458C">
      <w:pPr>
        <w:pStyle w:val="ListParagraph"/>
        <w:numPr>
          <w:ilvl w:val="0"/>
          <w:numId w:val="4"/>
        </w:numPr>
      </w:pPr>
      <w:r>
        <w:rPr>
          <w:b/>
        </w:rPr>
        <w:t>Validation:</w:t>
      </w:r>
      <w:r>
        <w:t xml:space="preserve"> stability (bootstrap), 16 sensitivity settings, comparison with UN regions, held-out variables with Holm adjustment, and a Gaussian null check on the silhouette (post hoc).</w:t>
      </w:r>
    </w:p>
    <w:p w14:paraId="24760168" w14:textId="77777777" w:rsidR="009D7E85" w:rsidRDefault="00E2458C">
      <w:pPr>
        <w:pStyle w:val="ListParagraph"/>
        <w:numPr>
          <w:ilvl w:val="0"/>
          <w:numId w:val="4"/>
        </w:numPr>
      </w:pPr>
      <w:r>
        <w:rPr>
          <w:b/>
        </w:rPr>
        <w:t>Projection analysis:</w:t>
      </w:r>
      <w:r>
        <w:t xml:space="preserve"> OtherVariants for 80% and 95% intervals.</w:t>
      </w:r>
    </w:p>
    <w:p w14:paraId="5E20AAD3" w14:textId="77777777" w:rsidR="009D7E85" w:rsidRDefault="00E2458C">
      <w:pPr>
        <w:pStyle w:val="Heading2"/>
      </w:pPr>
      <w:r>
        <w:t>Key findings</w:t>
      </w:r>
    </w:p>
    <w:p w14:paraId="26465BC3" w14:textId="77777777" w:rsidR="009D7E85" w:rsidRDefault="00E2458C">
      <w:pPr>
        <w:pStyle w:val="ListParagraph"/>
        <w:numPr>
          <w:ilvl w:val="0"/>
          <w:numId w:val="5"/>
        </w:numPr>
      </w:pPr>
      <w:r>
        <w:rPr>
          <w:b/>
        </w:rPr>
        <w:t>One corridor:</w:t>
      </w:r>
      <w:r>
        <w:t xml:space="preserve"> most variation is a single ‘stage’ axis, so countries travel the same path at different times.</w:t>
      </w:r>
    </w:p>
    <w:p w14:paraId="743B0C06" w14:textId="77777777" w:rsidR="009D7E85" w:rsidRDefault="00E2458C">
      <w:pPr>
        <w:pStyle w:val="ListParagraph"/>
        <w:numPr>
          <w:ilvl w:val="0"/>
          <w:numId w:val="5"/>
        </w:numPr>
      </w:pPr>
      <w:r>
        <w:rPr>
          <w:b/>
        </w:rPr>
        <w:t>Stable groups:</w:t>
      </w:r>
      <w:r>
        <w:t xml:space="preserve"> k = 2 has median bootstrap ARI 1.00; k = 3 has 0.98, and 97.5% of countries keep their group in at least 80% of resamples. Across 16 data choices, k-means keeps 94–100% of countries in the same group. Only 5 of 200 countries are truly borderline (for example the Solomon Islands and Bangladesh).</w:t>
      </w:r>
    </w:p>
    <w:p w14:paraId="18492743" w14:textId="77777777" w:rsidR="009D7E85" w:rsidRDefault="00E2458C">
      <w:pPr>
        <w:pStyle w:val="ListParagraph"/>
        <w:numPr>
          <w:ilvl w:val="0"/>
          <w:numId w:val="5"/>
        </w:numPr>
      </w:pPr>
      <w:r>
        <w:rPr>
          <w:b/>
        </w:rPr>
        <w:t>Soft edges:</w:t>
      </w:r>
      <w:r>
        <w:t xml:space="preserve"> Ward and mixture models agree much less with k-means (71–93%), so boundaries depend on the method.</w:t>
      </w:r>
    </w:p>
    <w:p w14:paraId="4973EA2A" w14:textId="77777777" w:rsidR="009D7E85" w:rsidRDefault="00E2458C">
      <w:pPr>
        <w:pStyle w:val="ListParagraph"/>
        <w:numPr>
          <w:ilvl w:val="0"/>
          <w:numId w:val="5"/>
        </w:numPr>
      </w:pPr>
      <w:r>
        <w:rPr>
          <w:b/>
        </w:rPr>
        <w:t>Not just geography:</w:t>
      </w:r>
      <w:r>
        <w:t xml:space="preserve"> ARI against the six UN regions is 0.23 (k = 2) and 0.31 (k = 3), though association is strong (Cramér’s V about 0.67–0.69). Asia and Latin America are split across groups.</w:t>
      </w:r>
    </w:p>
    <w:p w14:paraId="7EEB2944" w14:textId="77777777" w:rsidR="009D7E85" w:rsidRDefault="00E2458C">
      <w:pPr>
        <w:pStyle w:val="ListParagraph"/>
        <w:numPr>
          <w:ilvl w:val="0"/>
          <w:numId w:val="5"/>
        </w:numPr>
      </w:pPr>
      <w:r>
        <w:rPr>
          <w:b/>
        </w:rPr>
        <w:t>Validation:</w:t>
      </w:r>
      <w:r>
        <w:t xml:space="preserve"> groups differ on variables not used to form them (median age, population growth, the sex gap in LE60). That is concordant validity, not independent confirmation, because median age is mechanically tied to past fertility.</w:t>
      </w:r>
    </w:p>
    <w:p w14:paraId="1E9B1801" w14:textId="77777777" w:rsidR="009D7E85" w:rsidRDefault="00E2458C">
      <w:pPr>
        <w:pStyle w:val="ListParagraph"/>
        <w:numPr>
          <w:ilvl w:val="0"/>
          <w:numId w:val="5"/>
        </w:numPr>
      </w:pPr>
      <w:r>
        <w:rPr>
          <w:b/>
        </w:rPr>
        <w:t>Longevity:</w:t>
      </w:r>
      <w:r>
        <w:t xml:space="preserve"> life expectancy at birth converged across countries (relative spread fell by half from the 1950s to the 2010s), while life expectancy at 60 diverged (relative spread up about 45%).</w:t>
      </w:r>
    </w:p>
    <w:p w14:paraId="3EF4B368" w14:textId="77777777" w:rsidR="009D7E85" w:rsidRDefault="00E2458C">
      <w:pPr>
        <w:pStyle w:val="ListParagraph"/>
        <w:numPr>
          <w:ilvl w:val="0"/>
          <w:numId w:val="5"/>
        </w:numPr>
      </w:pPr>
      <w:r>
        <w:rPr>
          <w:b/>
        </w:rPr>
        <w:t>Transition order:</w:t>
      </w:r>
      <w:r>
        <w:t xml:space="preserve"> among 97 countries with both transitions observed, 96 passed life expectancy 60 before fertility fell below 3, with a median lag of 19 years. 55 of 200 countries haven’t yet reached fertility below 3.</w:t>
      </w:r>
    </w:p>
    <w:p w14:paraId="4C937CD7" w14:textId="77777777" w:rsidR="009D7E85" w:rsidRDefault="00E2458C">
      <w:pPr>
        <w:pStyle w:val="ListParagraph"/>
        <w:numPr>
          <w:ilvl w:val="0"/>
          <w:numId w:val="5"/>
        </w:numPr>
      </w:pPr>
      <w:r>
        <w:rPr>
          <w:b/>
        </w:rPr>
        <w:t>Projections (Medium scenario):</w:t>
      </w:r>
      <w:r>
        <w:t xml:space="preserve"> fertility dispersion across countries falls about 83% by 2100, but the LE60 gap between the highest- and lowest-stage groups widens from about 7 to 10 years. The fertility convergence is largely a property of the projection model.</w:t>
      </w:r>
    </w:p>
    <w:p w14:paraId="512918B3" w14:textId="77777777" w:rsidR="009D7E85" w:rsidRDefault="00E2458C">
      <w:pPr>
        <w:pStyle w:val="ListParagraph"/>
        <w:numPr>
          <w:ilvl w:val="0"/>
          <w:numId w:val="5"/>
        </w:numPr>
      </w:pPr>
      <w:r>
        <w:rPr>
          <w:b/>
        </w:rPr>
        <w:t>Hypotheses:</w:t>
      </w:r>
      <w:r>
        <w:t xml:space="preserve"> H1 (groups are not just regions), H2a (convergence in projections) and H3 (stability) are supported. H2b (wider population uncertainty for earlier-stage groups) holds in the primary set (ρ = −0.19, p = 0.007) but disappears when all 236 areas are included (ρ = −0.07, p = 0.30), so we report it as fragile.</w:t>
      </w:r>
    </w:p>
    <w:p w14:paraId="30A567A4" w14:textId="77777777" w:rsidR="009D7E85" w:rsidRDefault="00E2458C">
      <w:pPr>
        <w:pStyle w:val="ListParagraph"/>
        <w:numPr>
          <w:ilvl w:val="0"/>
          <w:numId w:val="5"/>
        </w:numPr>
      </w:pPr>
      <w:r>
        <w:rPr>
          <w:b/>
        </w:rPr>
        <w:t>Exploratory (post hoc):</w:t>
      </w:r>
      <w:r>
        <w:t xml:space="preserve"> a k = 5 view shows women’s advantage at age 60 widening in one low-fertility group (mostly Eastern Europe plus some Caribbean and other countries) while narrowing in another (mostly Western Europe, East Asia, North America). We make no causal claim.</w:t>
      </w:r>
    </w:p>
    <w:p w14:paraId="5485C589" w14:textId="77777777" w:rsidR="009D7E85" w:rsidRDefault="00E2458C">
      <w:pPr>
        <w:pStyle w:val="Heading2"/>
      </w:pPr>
      <w:r>
        <w:t>Ethics and transparency</w:t>
      </w:r>
    </w:p>
    <w:p w14:paraId="2AF7F322" w14:textId="77777777" w:rsidR="009D7E85" w:rsidRDefault="00E2458C">
      <w:pPr>
        <w:pStyle w:val="ListParagraph"/>
        <w:numPr>
          <w:ilvl w:val="0"/>
          <w:numId w:val="6"/>
        </w:numPr>
      </w:pPr>
      <w:r>
        <w:t>Framework: the ASA Ethical Guidelines for Statistical Practice (2022).</w:t>
      </w:r>
    </w:p>
    <w:p w14:paraId="05373B71" w14:textId="77777777" w:rsidR="009D7E85" w:rsidRDefault="00E2458C">
      <w:pPr>
        <w:pStyle w:val="ListParagraph"/>
        <w:numPr>
          <w:ilvl w:val="0"/>
          <w:numId w:val="6"/>
        </w:numPr>
      </w:pPr>
      <w:r>
        <w:lastRenderedPageBreak/>
        <w:t>Neutral group labels (letters ordered by stage only), no rankings, and ‘countries and areas’ wording because some are not sovereign states.</w:t>
      </w:r>
    </w:p>
    <w:p w14:paraId="32F01A98" w14:textId="77777777" w:rsidR="009D7E85" w:rsidRDefault="00E2458C">
      <w:pPr>
        <w:pStyle w:val="ListParagraph"/>
        <w:numPr>
          <w:ilvl w:val="0"/>
          <w:numId w:val="6"/>
        </w:numPr>
      </w:pPr>
      <w:r>
        <w:t>Projections are shown as scenarios with intervals, never as forecasts.</w:t>
      </w:r>
    </w:p>
    <w:p w14:paraId="40390A11" w14:textId="77777777" w:rsidR="009D7E85" w:rsidRDefault="00E2458C">
      <w:pPr>
        <w:pStyle w:val="ListParagraph"/>
        <w:numPr>
          <w:ilvl w:val="0"/>
          <w:numId w:val="6"/>
        </w:numPr>
      </w:pPr>
      <w:r>
        <w:t>Borderline countries are hatched on the map; limitations and post hoc status are stated on the slides.</w:t>
      </w:r>
    </w:p>
    <w:p w14:paraId="674407A3" w14:textId="77777777" w:rsidR="009D7E85" w:rsidRDefault="00E2458C">
      <w:pPr>
        <w:pStyle w:val="ListParagraph"/>
        <w:numPr>
          <w:ilvl w:val="0"/>
          <w:numId w:val="6"/>
        </w:numPr>
      </w:pPr>
      <w:r>
        <w:t>The data are aggregated national indicators, so there is no individual privacy risk, but the values are modelled estimates of uneven quality.</w:t>
      </w:r>
    </w:p>
    <w:p w14:paraId="37E5F3C6" w14:textId="77777777" w:rsidR="009D7E85" w:rsidRDefault="00E2458C">
      <w:pPr>
        <w:pStyle w:val="Heading2"/>
      </w:pPr>
      <w:r>
        <w:t>Limitations to say upfront</w:t>
      </w:r>
    </w:p>
    <w:p w14:paraId="0BC5BA91" w14:textId="77777777" w:rsidR="009D7E85" w:rsidRDefault="00E2458C">
      <w:pPr>
        <w:pStyle w:val="ListParagraph"/>
        <w:numPr>
          <w:ilvl w:val="0"/>
          <w:numId w:val="7"/>
        </w:numPr>
      </w:pPr>
      <w:r>
        <w:t>Modelled estimates, especially for early years and low-data countries.</w:t>
      </w:r>
    </w:p>
    <w:p w14:paraId="3B92F2AA" w14:textId="77777777" w:rsidR="009D7E85" w:rsidRDefault="00E2458C">
      <w:pPr>
        <w:pStyle w:val="ListParagraph"/>
        <w:numPr>
          <w:ilvl w:val="0"/>
          <w:numId w:val="7"/>
        </w:numPr>
      </w:pPr>
      <w:r>
        <w:t>National averages hide inequality within countries (ecological fallacy).</w:t>
      </w:r>
    </w:p>
    <w:p w14:paraId="0F74411F" w14:textId="77777777" w:rsidR="009D7E85" w:rsidRDefault="00E2458C">
      <w:pPr>
        <w:pStyle w:val="ListParagraph"/>
        <w:numPr>
          <w:ilvl w:val="0"/>
          <w:numId w:val="7"/>
        </w:numPr>
      </w:pPr>
      <w:r>
        <w:t>The transition-lag result comes from a selected subset (97 of 200), with arbitrary thresholds.</w:t>
      </w:r>
    </w:p>
    <w:p w14:paraId="79F3022C" w14:textId="77777777" w:rsidR="009D7E85" w:rsidRDefault="00E2458C">
      <w:pPr>
        <w:pStyle w:val="ListParagraph"/>
        <w:numPr>
          <w:ilvl w:val="0"/>
          <w:numId w:val="7"/>
        </w:numPr>
      </w:pPr>
      <w:r>
        <w:t>The k = 5 view, the null check and the sex-gap description are post hoc.</w:t>
      </w:r>
    </w:p>
    <w:p w14:paraId="7AA74FDC" w14:textId="77777777" w:rsidR="009D7E85" w:rsidRDefault="00E2458C">
      <w:pPr>
        <w:pStyle w:val="Heading2"/>
      </w:pPr>
      <w:r>
        <w:t>Questions your professor may ask</w:t>
      </w:r>
    </w:p>
    <w:p w14:paraId="7FAFB11D" w14:textId="77777777" w:rsidR="009D7E85" w:rsidRDefault="00E2458C">
      <w:pPr>
        <w:pStyle w:val="ListParagraph"/>
        <w:numPr>
          <w:ilvl w:val="0"/>
          <w:numId w:val="8"/>
        </w:numPr>
      </w:pPr>
      <w:r>
        <w:rPr>
          <w:b/>
        </w:rPr>
        <w:t xml:space="preserve">Why </w:t>
      </w:r>
      <w:proofErr w:type="gramStart"/>
      <w:r>
        <w:rPr>
          <w:b/>
        </w:rPr>
        <w:t>k-means</w:t>
      </w:r>
      <w:proofErr w:type="gramEnd"/>
      <w:r>
        <w:rPr>
          <w:b/>
        </w:rPr>
        <w:t>?</w:t>
      </w:r>
      <w:r>
        <w:t xml:space="preserve"> It was the most stable across data choices and resamples, but we compared it with Ward and mixture models and report where they disagree.</w:t>
      </w:r>
    </w:p>
    <w:p w14:paraId="122AB207" w14:textId="77777777" w:rsidR="009D7E85" w:rsidRDefault="00E2458C">
      <w:pPr>
        <w:pStyle w:val="ListParagraph"/>
        <w:numPr>
          <w:ilvl w:val="0"/>
          <w:numId w:val="8"/>
        </w:numPr>
      </w:pPr>
      <w:r>
        <w:rPr>
          <w:b/>
        </w:rPr>
        <w:t>Why decade medians?</w:t>
      </w:r>
      <w:r>
        <w:t xml:space="preserve"> They </w:t>
      </w:r>
      <w:proofErr w:type="gramStart"/>
      <w:r>
        <w:t>smooth</w:t>
      </w:r>
      <w:proofErr w:type="gramEnd"/>
      <w:r>
        <w:t xml:space="preserve"> single-year shocks (wars, epidemics, estimation noise). We checked 5-year medians and a window ending in 2023 in the sensitivity grid.</w:t>
      </w:r>
    </w:p>
    <w:p w14:paraId="0AFC8033" w14:textId="77777777" w:rsidR="009D7E85" w:rsidRDefault="00E2458C">
      <w:pPr>
        <w:pStyle w:val="ListParagraph"/>
        <w:numPr>
          <w:ilvl w:val="0"/>
          <w:numId w:val="8"/>
        </w:numPr>
      </w:pPr>
      <w:r>
        <w:rPr>
          <w:b/>
        </w:rPr>
        <w:t>Why exclude small areas from the main fit?</w:t>
      </w:r>
      <w:r>
        <w:t xml:space="preserve"> Their rates are noisy and modelled. We also ran all 236, and we </w:t>
      </w:r>
      <w:proofErr w:type="gramStart"/>
      <w:r>
        <w:t>assign</w:t>
      </w:r>
      <w:proofErr w:type="gramEnd"/>
      <w:r>
        <w:t xml:space="preserve"> small ones to the nearest group.</w:t>
      </w:r>
    </w:p>
    <w:p w14:paraId="13CEED36" w14:textId="77777777" w:rsidR="009D7E85" w:rsidRDefault="00E2458C">
      <w:pPr>
        <w:pStyle w:val="ListParagraph"/>
        <w:numPr>
          <w:ilvl w:val="0"/>
          <w:numId w:val="8"/>
        </w:numPr>
      </w:pPr>
      <w:r>
        <w:rPr>
          <w:b/>
        </w:rPr>
        <w:t>Is it causal?</w:t>
      </w:r>
      <w:r>
        <w:t xml:space="preserve"> No. It is descriptive, observational, country-level data.</w:t>
      </w:r>
    </w:p>
    <w:p w14:paraId="046EEB71" w14:textId="77777777" w:rsidR="009D7E85" w:rsidRDefault="00E2458C">
      <w:pPr>
        <w:pStyle w:val="ListParagraph"/>
        <w:numPr>
          <w:ilvl w:val="0"/>
          <w:numId w:val="8"/>
        </w:numPr>
      </w:pPr>
      <w:r>
        <w:rPr>
          <w:b/>
        </w:rPr>
        <w:t>What would you do next?</w:t>
      </w:r>
      <w:r>
        <w:t xml:space="preserve"> Test alternative clustering of trajectories (for example, time-warping methods), add income and other covariates, and treat censoring more formally in the transition-lag analysis.</w:t>
      </w:r>
    </w:p>
    <w:p w14:paraId="2E4AF1B8" w14:textId="77777777" w:rsidR="009D7E85" w:rsidRDefault="00E2458C">
      <w:pPr>
        <w:pStyle w:val="Heading2"/>
      </w:pPr>
      <w:r>
        <w:t>A note on responsibility</w:t>
      </w:r>
    </w:p>
    <w:p w14:paraId="0C27E502" w14:textId="77777777" w:rsidR="009D7E85" w:rsidRDefault="00E2458C">
      <w:r>
        <w:t>Be upfront about which parts you did yourself and which tools helped (code, planning, slides</w:t>
      </w:r>
      <w:proofErr w:type="gramStart"/>
      <w:r>
        <w:t>), and</w:t>
      </w:r>
      <w:proofErr w:type="gramEnd"/>
      <w:r>
        <w:t xml:space="preserve"> make sure you can explain every step. The ASA guidelines cited here ask for exactly that kind of responsibility.</w:t>
      </w:r>
    </w:p>
    <w:sectPr w:rsidR="009D7E8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138DE"/>
    <w:multiLevelType w:val="hybridMultilevel"/>
    <w:tmpl w:val="A036E15A"/>
    <w:lvl w:ilvl="0" w:tplc="F57E8DC0">
      <w:start w:val="1"/>
      <w:numFmt w:val="decimal"/>
      <w:lvlText w:val="%1."/>
      <w:lvlJc w:val="left"/>
      <w:pPr>
        <w:ind w:left="720" w:hanging="360"/>
      </w:pPr>
    </w:lvl>
    <w:lvl w:ilvl="1" w:tplc="A9EC4C6C">
      <w:start w:val="1"/>
      <w:numFmt w:val="lowerLetter"/>
      <w:lvlText w:val="%2."/>
      <w:lvlJc w:val="left"/>
      <w:pPr>
        <w:ind w:left="1440" w:hanging="360"/>
      </w:pPr>
    </w:lvl>
    <w:lvl w:ilvl="2" w:tplc="5CD4C772">
      <w:start w:val="1"/>
      <w:numFmt w:val="lowerRoman"/>
      <w:lvlText w:val="%3."/>
      <w:lvlJc w:val="left"/>
      <w:pPr>
        <w:ind w:left="2160" w:hanging="360"/>
      </w:pPr>
    </w:lvl>
    <w:lvl w:ilvl="3" w:tplc="0E8EA808">
      <w:start w:val="1"/>
      <w:numFmt w:val="decimal"/>
      <w:lvlText w:val="%4."/>
      <w:lvlJc w:val="left"/>
      <w:pPr>
        <w:ind w:left="2880" w:hanging="360"/>
      </w:pPr>
    </w:lvl>
    <w:lvl w:ilvl="4" w:tplc="CFE8A8FC">
      <w:start w:val="1"/>
      <w:numFmt w:val="lowerLetter"/>
      <w:lvlText w:val="%5."/>
      <w:lvlJc w:val="left"/>
      <w:pPr>
        <w:ind w:left="3600" w:hanging="360"/>
      </w:pPr>
    </w:lvl>
    <w:lvl w:ilvl="5" w:tplc="480418C6">
      <w:start w:val="1"/>
      <w:numFmt w:val="lowerRoman"/>
      <w:lvlText w:val="%6."/>
      <w:lvlJc w:val="left"/>
      <w:pPr>
        <w:ind w:left="4320" w:hanging="360"/>
      </w:pPr>
    </w:lvl>
    <w:lvl w:ilvl="6" w:tplc="B30435F6">
      <w:start w:val="1"/>
      <w:numFmt w:val="decimal"/>
      <w:lvlText w:val="%7."/>
      <w:lvlJc w:val="left"/>
      <w:pPr>
        <w:ind w:left="5040" w:hanging="360"/>
      </w:pPr>
    </w:lvl>
    <w:lvl w:ilvl="7" w:tplc="9FEC9E9C">
      <w:start w:val="1"/>
      <w:numFmt w:val="lowerLetter"/>
      <w:lvlText w:val="%8."/>
      <w:lvlJc w:val="left"/>
      <w:pPr>
        <w:ind w:left="5760" w:hanging="360"/>
      </w:pPr>
    </w:lvl>
    <w:lvl w:ilvl="8" w:tplc="6338EE98">
      <w:start w:val="1"/>
      <w:numFmt w:val="lowerRoman"/>
      <w:lvlText w:val="%9."/>
      <w:lvlJc w:val="left"/>
      <w:pPr>
        <w:ind w:left="6480" w:hanging="360"/>
      </w:pPr>
    </w:lvl>
  </w:abstractNum>
  <w:abstractNum w:abstractNumId="1" w15:restartNumberingAfterBreak="0">
    <w:nsid w:val="70234ED7"/>
    <w:multiLevelType w:val="hybridMultilevel"/>
    <w:tmpl w:val="03C85BEC"/>
    <w:lvl w:ilvl="0" w:tplc="C64CE130">
      <w:start w:val="1"/>
      <w:numFmt w:val="bullet"/>
      <w:lvlText w:val="•"/>
      <w:lvlJc w:val="left"/>
      <w:pPr>
        <w:ind w:left="720" w:hanging="360"/>
      </w:pPr>
    </w:lvl>
    <w:lvl w:ilvl="1" w:tplc="72F24F64">
      <w:start w:val="1"/>
      <w:numFmt w:val="bullet"/>
      <w:lvlText w:val="o"/>
      <w:lvlJc w:val="left"/>
      <w:pPr>
        <w:ind w:left="1440" w:hanging="360"/>
      </w:pPr>
    </w:lvl>
    <w:lvl w:ilvl="2" w:tplc="14206AC2">
      <w:start w:val="1"/>
      <w:numFmt w:val="bullet"/>
      <w:lvlText w:val="▪"/>
      <w:lvlJc w:val="left"/>
      <w:pPr>
        <w:ind w:left="2160" w:hanging="360"/>
      </w:pPr>
    </w:lvl>
    <w:lvl w:ilvl="3" w:tplc="2154D876">
      <w:start w:val="1"/>
      <w:numFmt w:val="bullet"/>
      <w:lvlText w:val="•"/>
      <w:lvlJc w:val="left"/>
      <w:pPr>
        <w:ind w:left="2880" w:hanging="360"/>
      </w:pPr>
    </w:lvl>
    <w:lvl w:ilvl="4" w:tplc="B92A34C4">
      <w:start w:val="1"/>
      <w:numFmt w:val="bullet"/>
      <w:lvlText w:val="o"/>
      <w:lvlJc w:val="left"/>
      <w:pPr>
        <w:ind w:left="3600" w:hanging="360"/>
      </w:pPr>
    </w:lvl>
    <w:lvl w:ilvl="5" w:tplc="99D63ECA">
      <w:start w:val="1"/>
      <w:numFmt w:val="bullet"/>
      <w:lvlText w:val="▪"/>
      <w:lvlJc w:val="left"/>
      <w:pPr>
        <w:ind w:left="4320" w:hanging="360"/>
      </w:pPr>
    </w:lvl>
    <w:lvl w:ilvl="6" w:tplc="4D6EEC5A">
      <w:start w:val="1"/>
      <w:numFmt w:val="bullet"/>
      <w:lvlText w:val="•"/>
      <w:lvlJc w:val="left"/>
      <w:pPr>
        <w:ind w:left="5040" w:hanging="360"/>
      </w:pPr>
    </w:lvl>
    <w:lvl w:ilvl="7" w:tplc="C49C1A86">
      <w:start w:val="1"/>
      <w:numFmt w:val="bullet"/>
      <w:lvlText w:val="o"/>
      <w:lvlJc w:val="left"/>
      <w:pPr>
        <w:ind w:left="5760" w:hanging="360"/>
      </w:pPr>
    </w:lvl>
    <w:lvl w:ilvl="8" w:tplc="EBB655BA">
      <w:start w:val="1"/>
      <w:numFmt w:val="bullet"/>
      <w:lvlText w:val="▪"/>
      <w:lvlJc w:val="left"/>
      <w:pPr>
        <w:ind w:left="6480" w:hanging="360"/>
      </w:pPr>
    </w:lvl>
  </w:abstractNum>
  <w:num w:numId="1" w16cid:durableId="1135757504">
    <w:abstractNumId w:val="1"/>
  </w:num>
  <w:num w:numId="2" w16cid:durableId="1521044290">
    <w:abstractNumId w:val="1"/>
  </w:num>
  <w:num w:numId="3" w16cid:durableId="478229502">
    <w:abstractNumId w:val="1"/>
  </w:num>
  <w:num w:numId="4" w16cid:durableId="409818118">
    <w:abstractNumId w:val="0"/>
    <w:lvlOverride w:ilvl="0">
      <w:startOverride w:val="1"/>
    </w:lvlOverride>
  </w:num>
  <w:num w:numId="5" w16cid:durableId="1309629898">
    <w:abstractNumId w:val="1"/>
  </w:num>
  <w:num w:numId="6" w16cid:durableId="1391340511">
    <w:abstractNumId w:val="1"/>
  </w:num>
  <w:num w:numId="7" w16cid:durableId="1703901536">
    <w:abstractNumId w:val="1"/>
  </w:num>
  <w:num w:numId="8" w16cid:durableId="90316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85"/>
    <w:rsid w:val="0050315A"/>
    <w:rsid w:val="00601EF7"/>
    <w:rsid w:val="006B14B2"/>
    <w:rsid w:val="00790C12"/>
    <w:rsid w:val="009D7E85"/>
    <w:rsid w:val="00E245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0BFFB"/>
  <w15:docId w15:val="{A25A0CA9-5CED-412E-BD91-1F240A23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1038</Words>
  <Characters>5919</Characters>
  <Application>Microsoft Office Word</Application>
  <DocSecurity>0</DocSecurity>
  <Lines>49</Lines>
  <Paragraphs>13</Paragraphs>
  <ScaleCrop>false</ScaleCrop>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demographic pathways analysis for the 2026 ASA DataQuest</dc:title>
  <dc:creator>Ahza Taradiva Pasha</dc:creator>
  <dc:description>Claude Docs node/0d9cbfcf-fdba@1 docx-w6</dc:description>
  <cp:lastModifiedBy>Ahza Taradiva Pasha</cp:lastModifiedBy>
  <cp:revision>3</cp:revision>
  <dcterms:created xsi:type="dcterms:W3CDTF">2026-10-11T09:15:00Z</dcterms:created>
  <dcterms:modified xsi:type="dcterms:W3CDTF">2026-10-11T09:21:00Z</dcterms:modified>
</cp:coreProperties>
</file>