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AC101" w14:textId="23E35B0D" w:rsidR="009F2AE2" w:rsidRDefault="009F2AE2" w:rsidP="009F2AE2">
      <w:pPr>
        <w:jc w:val="center"/>
        <w:rPr>
          <w:b/>
          <w:bCs/>
        </w:rPr>
      </w:pPr>
      <w:r w:rsidRPr="009F2AE2">
        <w:rPr>
          <w:b/>
          <w:bCs/>
        </w:rPr>
        <w:t>ASA DATAQUEST 2026</w:t>
      </w:r>
    </w:p>
    <w:p w14:paraId="0D6AE146" w14:textId="77777777" w:rsidR="009F2AE2" w:rsidRPr="009F2AE2" w:rsidRDefault="009F2AE2" w:rsidP="009F2AE2">
      <w:pP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7"/>
        <w:gridCol w:w="3427"/>
        <w:gridCol w:w="4542"/>
      </w:tblGrid>
      <w:tr w:rsidR="009F2AE2" w:rsidRPr="009F2AE2" w14:paraId="2D98A161" w14:textId="77777777">
        <w:trPr>
          <w:tblHeader/>
          <w:tblCellSpacing w:w="15" w:type="dxa"/>
        </w:trPr>
        <w:tc>
          <w:tcPr>
            <w:tcW w:w="0" w:type="auto"/>
            <w:vAlign w:val="center"/>
            <w:hideMark/>
          </w:tcPr>
          <w:p w14:paraId="369AE95A" w14:textId="77777777" w:rsidR="009F2AE2" w:rsidRPr="009F2AE2" w:rsidRDefault="009F2AE2" w:rsidP="009F2AE2">
            <w:pPr>
              <w:rPr>
                <w:b/>
                <w:bCs/>
              </w:rPr>
            </w:pPr>
            <w:r w:rsidRPr="009F2AE2">
              <w:rPr>
                <w:b/>
                <w:bCs/>
              </w:rPr>
              <w:t>Slide</w:t>
            </w:r>
          </w:p>
        </w:tc>
        <w:tc>
          <w:tcPr>
            <w:tcW w:w="0" w:type="auto"/>
            <w:vAlign w:val="center"/>
            <w:hideMark/>
          </w:tcPr>
          <w:p w14:paraId="6FF6FF0E" w14:textId="77777777" w:rsidR="009F2AE2" w:rsidRPr="009F2AE2" w:rsidRDefault="009F2AE2" w:rsidP="009F2AE2">
            <w:pPr>
              <w:rPr>
                <w:b/>
                <w:bCs/>
              </w:rPr>
            </w:pPr>
            <w:r w:rsidRPr="009F2AE2">
              <w:rPr>
                <w:b/>
                <w:bCs/>
              </w:rPr>
              <w:t>Headline</w:t>
            </w:r>
          </w:p>
        </w:tc>
        <w:tc>
          <w:tcPr>
            <w:tcW w:w="0" w:type="auto"/>
            <w:vAlign w:val="center"/>
            <w:hideMark/>
          </w:tcPr>
          <w:p w14:paraId="71A3A25C" w14:textId="77777777" w:rsidR="009F2AE2" w:rsidRPr="009F2AE2" w:rsidRDefault="009F2AE2" w:rsidP="009F2AE2">
            <w:pPr>
              <w:rPr>
                <w:b/>
                <w:bCs/>
              </w:rPr>
            </w:pPr>
            <w:r w:rsidRPr="009F2AE2">
              <w:rPr>
                <w:b/>
                <w:bCs/>
              </w:rPr>
              <w:t>Visual</w:t>
            </w:r>
          </w:p>
        </w:tc>
      </w:tr>
      <w:tr w:rsidR="009F2AE2" w:rsidRPr="009F2AE2" w14:paraId="443A5775" w14:textId="77777777">
        <w:trPr>
          <w:tblCellSpacing w:w="15" w:type="dxa"/>
        </w:trPr>
        <w:tc>
          <w:tcPr>
            <w:tcW w:w="0" w:type="auto"/>
            <w:vAlign w:val="center"/>
            <w:hideMark/>
          </w:tcPr>
          <w:p w14:paraId="5373C6C0" w14:textId="77777777" w:rsidR="009F2AE2" w:rsidRPr="009F2AE2" w:rsidRDefault="009F2AE2" w:rsidP="009F2AE2">
            <w:r w:rsidRPr="009F2AE2">
              <w:t>Cover</w:t>
            </w:r>
          </w:p>
        </w:tc>
        <w:tc>
          <w:tcPr>
            <w:tcW w:w="0" w:type="auto"/>
            <w:vAlign w:val="center"/>
            <w:hideMark/>
          </w:tcPr>
          <w:p w14:paraId="1B9C9CA7" w14:textId="77777777" w:rsidR="009F2AE2" w:rsidRPr="009F2AE2" w:rsidRDefault="009F2AE2" w:rsidP="009F2AE2">
            <w:r w:rsidRPr="009F2AE2">
              <w:t>Demographic pathways: one transition, different timings</w:t>
            </w:r>
          </w:p>
        </w:tc>
        <w:tc>
          <w:tcPr>
            <w:tcW w:w="0" w:type="auto"/>
            <w:vAlign w:val="center"/>
            <w:hideMark/>
          </w:tcPr>
          <w:p w14:paraId="62327188" w14:textId="77777777" w:rsidR="009F2AE2" w:rsidRPr="009F2AE2" w:rsidRDefault="009F2AE2" w:rsidP="009F2AE2">
            <w:r w:rsidRPr="009F2AE2">
              <w:t>Group paths from your data</w:t>
            </w:r>
          </w:p>
        </w:tc>
      </w:tr>
      <w:tr w:rsidR="009F2AE2" w:rsidRPr="009F2AE2" w14:paraId="17E56B0B" w14:textId="77777777">
        <w:trPr>
          <w:tblCellSpacing w:w="15" w:type="dxa"/>
        </w:trPr>
        <w:tc>
          <w:tcPr>
            <w:tcW w:w="0" w:type="auto"/>
            <w:vAlign w:val="center"/>
            <w:hideMark/>
          </w:tcPr>
          <w:p w14:paraId="0D39F04F" w14:textId="77777777" w:rsidR="009F2AE2" w:rsidRPr="009F2AE2" w:rsidRDefault="009F2AE2" w:rsidP="009F2AE2">
            <w:r w:rsidRPr="009F2AE2">
              <w:t>1</w:t>
            </w:r>
          </w:p>
        </w:tc>
        <w:tc>
          <w:tcPr>
            <w:tcW w:w="0" w:type="auto"/>
            <w:vAlign w:val="center"/>
            <w:hideMark/>
          </w:tcPr>
          <w:p w14:paraId="02C4C126" w14:textId="77777777" w:rsidR="009F2AE2" w:rsidRPr="009F2AE2" w:rsidRDefault="009F2AE2" w:rsidP="009F2AE2">
            <w:r w:rsidRPr="009F2AE2">
              <w:t>One transition, countries at different stages</w:t>
            </w:r>
          </w:p>
        </w:tc>
        <w:tc>
          <w:tcPr>
            <w:tcW w:w="0" w:type="auto"/>
            <w:vAlign w:val="center"/>
            <w:hideMark/>
          </w:tcPr>
          <w:p w14:paraId="513275FE" w14:textId="77777777" w:rsidR="009F2AE2" w:rsidRPr="009F2AE2" w:rsidRDefault="009F2AE2" w:rsidP="009F2AE2">
            <w:r w:rsidRPr="009F2AE2">
              <w:t>World map of the three groups, hatched where membership is less certain</w:t>
            </w:r>
          </w:p>
        </w:tc>
      </w:tr>
      <w:tr w:rsidR="009F2AE2" w:rsidRPr="009F2AE2" w14:paraId="08BCC342" w14:textId="77777777">
        <w:trPr>
          <w:tblCellSpacing w:w="15" w:type="dxa"/>
        </w:trPr>
        <w:tc>
          <w:tcPr>
            <w:tcW w:w="0" w:type="auto"/>
            <w:vAlign w:val="center"/>
            <w:hideMark/>
          </w:tcPr>
          <w:p w14:paraId="57484057" w14:textId="77777777" w:rsidR="009F2AE2" w:rsidRPr="009F2AE2" w:rsidRDefault="009F2AE2" w:rsidP="009F2AE2">
            <w:r w:rsidRPr="009F2AE2">
              <w:t>2</w:t>
            </w:r>
          </w:p>
        </w:tc>
        <w:tc>
          <w:tcPr>
            <w:tcW w:w="0" w:type="auto"/>
            <w:vAlign w:val="center"/>
            <w:hideMark/>
          </w:tcPr>
          <w:p w14:paraId="09D91E0E" w14:textId="77777777" w:rsidR="009F2AE2" w:rsidRPr="009F2AE2" w:rsidRDefault="009F2AE2" w:rsidP="009F2AE2">
            <w:r w:rsidRPr="009F2AE2">
              <w:t>Fertility gaps close; longevity gaps at 60 widen</w:t>
            </w:r>
          </w:p>
        </w:tc>
        <w:tc>
          <w:tcPr>
            <w:tcW w:w="0" w:type="auto"/>
            <w:vAlign w:val="center"/>
            <w:hideMark/>
          </w:tcPr>
          <w:p w14:paraId="6962A765" w14:textId="77777777" w:rsidR="009F2AE2" w:rsidRPr="009F2AE2" w:rsidRDefault="009F2AE2" w:rsidP="009F2AE2">
            <w:r w:rsidRPr="009F2AE2">
              <w:t>Corridor plot plus group trajectories to 2100</w:t>
            </w:r>
          </w:p>
        </w:tc>
      </w:tr>
      <w:tr w:rsidR="009F2AE2" w:rsidRPr="009F2AE2" w14:paraId="33381343" w14:textId="77777777">
        <w:trPr>
          <w:tblCellSpacing w:w="15" w:type="dxa"/>
        </w:trPr>
        <w:tc>
          <w:tcPr>
            <w:tcW w:w="0" w:type="auto"/>
            <w:vAlign w:val="center"/>
            <w:hideMark/>
          </w:tcPr>
          <w:p w14:paraId="4C9B6E3A" w14:textId="77777777" w:rsidR="009F2AE2" w:rsidRPr="009F2AE2" w:rsidRDefault="009F2AE2" w:rsidP="009F2AE2">
            <w:r w:rsidRPr="009F2AE2">
              <w:t>3</w:t>
            </w:r>
          </w:p>
        </w:tc>
        <w:tc>
          <w:tcPr>
            <w:tcW w:w="0" w:type="auto"/>
            <w:vAlign w:val="center"/>
            <w:hideMark/>
          </w:tcPr>
          <w:p w14:paraId="01E08A34" w14:textId="77777777" w:rsidR="009F2AE2" w:rsidRPr="009F2AE2" w:rsidRDefault="009F2AE2" w:rsidP="009F2AE2">
            <w:r w:rsidRPr="009F2AE2">
              <w:t>Stable groups, soft edges, futures as ranges</w:t>
            </w:r>
          </w:p>
        </w:tc>
        <w:tc>
          <w:tcPr>
            <w:tcW w:w="0" w:type="auto"/>
            <w:vAlign w:val="center"/>
            <w:hideMark/>
          </w:tcPr>
          <w:p w14:paraId="1E22AC48" w14:textId="77777777" w:rsidR="009F2AE2" w:rsidRPr="009F2AE2" w:rsidRDefault="009F2AE2" w:rsidP="009F2AE2">
            <w:r w:rsidRPr="009F2AE2">
              <w:t>Robustness range plot (left) and a native, editable chart of interval widths (right)</w:t>
            </w:r>
          </w:p>
        </w:tc>
      </w:tr>
      <w:tr w:rsidR="009F2AE2" w:rsidRPr="009F2AE2" w14:paraId="7B1B3066" w14:textId="77777777">
        <w:trPr>
          <w:tblCellSpacing w:w="15" w:type="dxa"/>
        </w:trPr>
        <w:tc>
          <w:tcPr>
            <w:tcW w:w="0" w:type="auto"/>
            <w:vAlign w:val="center"/>
            <w:hideMark/>
          </w:tcPr>
          <w:p w14:paraId="0947B84D" w14:textId="77777777" w:rsidR="009F2AE2" w:rsidRPr="009F2AE2" w:rsidRDefault="009F2AE2" w:rsidP="009F2AE2">
            <w:r w:rsidRPr="009F2AE2">
              <w:t>4</w:t>
            </w:r>
          </w:p>
        </w:tc>
        <w:tc>
          <w:tcPr>
            <w:tcW w:w="0" w:type="auto"/>
            <w:vAlign w:val="center"/>
            <w:hideMark/>
          </w:tcPr>
          <w:p w14:paraId="1F7615FA" w14:textId="77777777" w:rsidR="009F2AE2" w:rsidRPr="009F2AE2" w:rsidRDefault="009F2AE2" w:rsidP="009F2AE2">
            <w:r w:rsidRPr="009F2AE2">
              <w:t>What persists, and how to use it responsibly</w:t>
            </w:r>
          </w:p>
        </w:tc>
        <w:tc>
          <w:tcPr>
            <w:tcW w:w="0" w:type="auto"/>
            <w:vAlign w:val="center"/>
            <w:hideMark/>
          </w:tcPr>
          <w:p w14:paraId="1035CD8C" w14:textId="77777777" w:rsidR="009F2AE2" w:rsidRPr="009F2AE2" w:rsidRDefault="009F2AE2" w:rsidP="009F2AE2">
            <w:r w:rsidRPr="009F2AE2">
              <w:t>Persistence figure plus a "Use with care" ethics card</w:t>
            </w:r>
          </w:p>
        </w:tc>
      </w:tr>
      <w:tr w:rsidR="009F2AE2" w:rsidRPr="009F2AE2" w14:paraId="445F3B73" w14:textId="77777777">
        <w:trPr>
          <w:tblCellSpacing w:w="15" w:type="dxa"/>
        </w:trPr>
        <w:tc>
          <w:tcPr>
            <w:tcW w:w="0" w:type="auto"/>
            <w:vAlign w:val="center"/>
            <w:hideMark/>
          </w:tcPr>
          <w:p w14:paraId="5D1CB044" w14:textId="77777777" w:rsidR="009F2AE2" w:rsidRPr="009F2AE2" w:rsidRDefault="009F2AE2" w:rsidP="009F2AE2">
            <w:r w:rsidRPr="009F2AE2">
              <w:t>References</w:t>
            </w:r>
          </w:p>
        </w:tc>
        <w:tc>
          <w:tcPr>
            <w:tcW w:w="0" w:type="auto"/>
            <w:vAlign w:val="center"/>
            <w:hideMark/>
          </w:tcPr>
          <w:p w14:paraId="30A2FA3E" w14:textId="77777777" w:rsidR="009F2AE2" w:rsidRPr="009F2AE2" w:rsidRDefault="009F2AE2" w:rsidP="009F2AE2">
            <w:r w:rsidRPr="009F2AE2">
              <w:t>References and reproducibility</w:t>
            </w:r>
          </w:p>
        </w:tc>
        <w:tc>
          <w:tcPr>
            <w:tcW w:w="0" w:type="auto"/>
            <w:vAlign w:val="center"/>
            <w:hideMark/>
          </w:tcPr>
          <w:p w14:paraId="7766F8AF" w14:textId="77777777" w:rsidR="009F2AE2" w:rsidRPr="009F2AE2" w:rsidRDefault="009F2AE2" w:rsidP="009F2AE2">
            <w:r w:rsidRPr="009F2AE2">
              <w:t>Data, ASA ethics guidelines, tools</w:t>
            </w:r>
          </w:p>
        </w:tc>
      </w:tr>
    </w:tbl>
    <w:p w14:paraId="34E04227" w14:textId="77777777" w:rsidR="009F2AE2" w:rsidRDefault="009F2AE2" w:rsidP="009F2AE2">
      <w:pPr>
        <w:rPr>
          <w:b/>
          <w:bCs/>
        </w:rPr>
      </w:pPr>
    </w:p>
    <w:p w14:paraId="5B056F51" w14:textId="58B65E40" w:rsidR="009F2AE2" w:rsidRPr="009F2AE2" w:rsidRDefault="009F2AE2" w:rsidP="009F2AE2">
      <w:r w:rsidRPr="009F2AE2">
        <w:rPr>
          <w:b/>
          <w:bCs/>
        </w:rPr>
        <w:t>Cover</w:t>
      </w:r>
      <w:r w:rsidRPr="009F2AE2">
        <w:br/>
        <w:t>Do countries follow one demographic path, or many? Using the UN's World Population Prospects 2024, we asked three questions: how many distinct pathways have countries followed since 1950, how robust are those groups, and how uncertain are their futures? We locked our analysis plan before looking at any results, and we label everything that was exploratory or post hoc.</w:t>
      </w:r>
    </w:p>
    <w:p w14:paraId="7A8C653E" w14:textId="218FCBEA" w:rsidR="009F2AE2" w:rsidRPr="009F2AE2" w:rsidRDefault="009F2AE2" w:rsidP="009F2AE2">
      <w:r w:rsidRPr="009F2AE2">
        <w:rPr>
          <w:b/>
          <w:bCs/>
        </w:rPr>
        <w:t>Slide 1</w:t>
      </w:r>
      <w:r w:rsidRPr="009F2AE2">
        <w:br/>
        <w:t>We clustered 200 countries and areas with at least a hundred thousand people, using decade medians of fertility, life expectancy at birth and life expectancy at sixty, from the nineteen-fifties to the twenty-tens. Most of the variation sits on one axis: the demographic transition. K-means finds two very robust groups and a stable three-group version, shown here. Group A averages about four-and-a-half births per woman and a life expectancy of sixty-two; group C, one-point-six births and eighty years. The groups relate to geography but are not identical to it: Asia and Latin America are split across groups. Hatching marks countries near a boundary, or with fewer than a hundred thousand people, where membership is less certain.</w:t>
      </w:r>
    </w:p>
    <w:p w14:paraId="7714EE29" w14:textId="6E034530" w:rsidR="009F2AE2" w:rsidRPr="009F2AE2" w:rsidRDefault="009F2AE2" w:rsidP="009F2AE2">
      <w:r w:rsidRPr="009F2AE2">
        <w:rPr>
          <w:b/>
          <w:bCs/>
        </w:rPr>
        <w:t>Slide 2</w:t>
      </w:r>
      <w:r w:rsidRPr="009F2AE2">
        <w:br/>
        <w:t>Plot life expectancy against fertility and countries travel along one corridor, at different times. The group medians show it: fertility fell first in group C, then B, and group A is still falling. Looking ahead, the UN medium scenario, dashed, brings fertility together, but that convergence is largely built into the projection model. Life expectancy at birth also converges slowly. Life expectancy at sixty does not: the gap between groups A and C widens from about seven to about ten years. In this scenario, the differences that remain are about longevity, not fertility.</w:t>
      </w:r>
    </w:p>
    <w:p w14:paraId="790197CC" w14:textId="64D8AB39" w:rsidR="009F2AE2" w:rsidRPr="009F2AE2" w:rsidRDefault="009F2AE2" w:rsidP="009F2AE2">
      <w:r w:rsidRPr="009F2AE2">
        <w:rPr>
          <w:b/>
          <w:bCs/>
        </w:rPr>
        <w:t>Slide 3</w:t>
      </w:r>
      <w:r w:rsidRPr="009F2AE2">
        <w:br/>
        <w:t xml:space="preserve">How sure are we? We tested the groups in three ways. Bootstrap: ninety-seven-and-a-half percent of countries keep their group in at least eighty percent of five hundred resamples. Sixteen alternative </w:t>
      </w:r>
      <w:r w:rsidRPr="009F2AE2">
        <w:lastRenderedPageBreak/>
        <w:t>data choices: k-means keeps ninety-four to a hundred percent of countries in the same group. But Ward clustering and mixture models agree much less, between seventy-one and ninety-three percent, so the edges between stages are soft; only five countries, such as Bangladesh and the Solomon Islands, are truly borderline. On the right, uncertainty about the future: intervals for 2100 population are relatively wider for earlier-stage groups, but the pattern is weak and disappears when the smallest territories are included, so we report it as fragile.</w:t>
      </w:r>
    </w:p>
    <w:p w14:paraId="571BD989" w14:textId="72DAE4D3" w:rsidR="002E7B87" w:rsidRDefault="009F2AE2">
      <w:r w:rsidRPr="009F2AE2">
        <w:rPr>
          <w:b/>
          <w:bCs/>
        </w:rPr>
        <w:t>Slide 4</w:t>
      </w:r>
      <w:r w:rsidRPr="009F2AE2">
        <w:br/>
        <w:t>Two more findings are exploratory. Life expectancy at birth converged across countries, but at sixty the relative spread grew by about forty-five percent. And women's advantage at sixty diverges between two low-fertility groups, widening in one and narrowing in the other. We make no causal claims. On responsible use: these are modelled estimates of uneven quality; projections are scenarios, not forecasts; the groups describe patterns, not merit, and we avoid rankings; and national averages hide differences inside countries. Every number in this video can be reproduced from our notebook, and anything added after seeing results is labelled post hoc. Thank you.</w:t>
      </w:r>
    </w:p>
    <w:sectPr w:rsidR="002E7B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733DAD"/>
    <w:multiLevelType w:val="multilevel"/>
    <w:tmpl w:val="AB542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A02320"/>
    <w:multiLevelType w:val="multilevel"/>
    <w:tmpl w:val="5CE2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9675C2"/>
    <w:multiLevelType w:val="multilevel"/>
    <w:tmpl w:val="CBD2D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1424733">
    <w:abstractNumId w:val="0"/>
  </w:num>
  <w:num w:numId="2" w16cid:durableId="1178468547">
    <w:abstractNumId w:val="2"/>
  </w:num>
  <w:num w:numId="3" w16cid:durableId="20960459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AE2"/>
    <w:rsid w:val="00176BE3"/>
    <w:rsid w:val="001C49D9"/>
    <w:rsid w:val="0024558E"/>
    <w:rsid w:val="0028018E"/>
    <w:rsid w:val="002E7B87"/>
    <w:rsid w:val="0033497C"/>
    <w:rsid w:val="00364E2D"/>
    <w:rsid w:val="003D1982"/>
    <w:rsid w:val="00630FD9"/>
    <w:rsid w:val="00644D26"/>
    <w:rsid w:val="00670874"/>
    <w:rsid w:val="007B46ED"/>
    <w:rsid w:val="008469E9"/>
    <w:rsid w:val="00914FB7"/>
    <w:rsid w:val="009275A6"/>
    <w:rsid w:val="00995698"/>
    <w:rsid w:val="009F24ED"/>
    <w:rsid w:val="009F2AE2"/>
    <w:rsid w:val="00B101D0"/>
    <w:rsid w:val="00C44FAF"/>
    <w:rsid w:val="00D20A10"/>
    <w:rsid w:val="00D837E0"/>
    <w:rsid w:val="00DD4873"/>
    <w:rsid w:val="00FD709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BDBEA"/>
  <w15:chartTrackingRefBased/>
  <w15:docId w15:val="{60F31290-FC36-4F26-A9C6-5A3E13641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0A10"/>
    <w:pPr>
      <w:keepNext/>
      <w:keepLines/>
      <w:spacing w:before="360" w:after="80"/>
      <w:outlineLvl w:val="0"/>
    </w:pPr>
    <w:rPr>
      <w:rFonts w:ascii="Times New Roman" w:eastAsiaTheme="majorEastAsia" w:hAnsi="Times New Roman" w:cstheme="majorBidi"/>
      <w:b/>
      <w:sz w:val="24"/>
      <w:szCs w:val="40"/>
    </w:rPr>
  </w:style>
  <w:style w:type="paragraph" w:styleId="Heading2">
    <w:name w:val="heading 2"/>
    <w:basedOn w:val="Normal"/>
    <w:next w:val="Normal"/>
    <w:link w:val="Heading2Char"/>
    <w:uiPriority w:val="9"/>
    <w:semiHidden/>
    <w:unhideWhenUsed/>
    <w:qFormat/>
    <w:rsid w:val="00D20A10"/>
    <w:pPr>
      <w:keepNext/>
      <w:keepLines/>
      <w:spacing w:before="160" w:after="80"/>
      <w:outlineLvl w:val="1"/>
    </w:pPr>
    <w:rPr>
      <w:rFonts w:ascii="Times New Roman" w:eastAsiaTheme="majorEastAsia" w:hAnsi="Times New Roman" w:cstheme="majorBidi"/>
      <w:b/>
      <w:sz w:val="24"/>
      <w:szCs w:val="32"/>
    </w:rPr>
  </w:style>
  <w:style w:type="paragraph" w:styleId="Heading3">
    <w:name w:val="heading 3"/>
    <w:basedOn w:val="Normal"/>
    <w:next w:val="Normal"/>
    <w:link w:val="Heading3Char"/>
    <w:uiPriority w:val="9"/>
    <w:semiHidden/>
    <w:unhideWhenUsed/>
    <w:qFormat/>
    <w:rsid w:val="009F2A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2A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2A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2A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2A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2A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2A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A10"/>
    <w:rPr>
      <w:rFonts w:ascii="Times New Roman" w:eastAsiaTheme="majorEastAsia" w:hAnsi="Times New Roman" w:cstheme="majorBidi"/>
      <w:b/>
      <w:sz w:val="24"/>
      <w:szCs w:val="40"/>
    </w:rPr>
  </w:style>
  <w:style w:type="character" w:customStyle="1" w:styleId="Heading2Char">
    <w:name w:val="Heading 2 Char"/>
    <w:basedOn w:val="DefaultParagraphFont"/>
    <w:link w:val="Heading2"/>
    <w:uiPriority w:val="9"/>
    <w:semiHidden/>
    <w:rsid w:val="00D20A10"/>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semiHidden/>
    <w:rsid w:val="009F2A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2A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2A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2A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2A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2A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2AE2"/>
    <w:rPr>
      <w:rFonts w:eastAsiaTheme="majorEastAsia" w:cstheme="majorBidi"/>
      <w:color w:val="272727" w:themeColor="text1" w:themeTint="D8"/>
    </w:rPr>
  </w:style>
  <w:style w:type="paragraph" w:styleId="Title">
    <w:name w:val="Title"/>
    <w:basedOn w:val="Normal"/>
    <w:next w:val="Normal"/>
    <w:link w:val="TitleChar"/>
    <w:uiPriority w:val="10"/>
    <w:qFormat/>
    <w:rsid w:val="009F2A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2A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2A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2A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2AE2"/>
    <w:pPr>
      <w:spacing w:before="160"/>
      <w:jc w:val="center"/>
    </w:pPr>
    <w:rPr>
      <w:i/>
      <w:iCs/>
      <w:color w:val="404040" w:themeColor="text1" w:themeTint="BF"/>
    </w:rPr>
  </w:style>
  <w:style w:type="character" w:customStyle="1" w:styleId="QuoteChar">
    <w:name w:val="Quote Char"/>
    <w:basedOn w:val="DefaultParagraphFont"/>
    <w:link w:val="Quote"/>
    <w:uiPriority w:val="29"/>
    <w:rsid w:val="009F2AE2"/>
    <w:rPr>
      <w:i/>
      <w:iCs/>
      <w:color w:val="404040" w:themeColor="text1" w:themeTint="BF"/>
    </w:rPr>
  </w:style>
  <w:style w:type="paragraph" w:styleId="ListParagraph">
    <w:name w:val="List Paragraph"/>
    <w:basedOn w:val="Normal"/>
    <w:uiPriority w:val="34"/>
    <w:qFormat/>
    <w:rsid w:val="009F2AE2"/>
    <w:pPr>
      <w:ind w:left="720"/>
      <w:contextualSpacing/>
    </w:pPr>
  </w:style>
  <w:style w:type="character" w:styleId="IntenseEmphasis">
    <w:name w:val="Intense Emphasis"/>
    <w:basedOn w:val="DefaultParagraphFont"/>
    <w:uiPriority w:val="21"/>
    <w:qFormat/>
    <w:rsid w:val="009F2AE2"/>
    <w:rPr>
      <w:i/>
      <w:iCs/>
      <w:color w:val="2F5496" w:themeColor="accent1" w:themeShade="BF"/>
    </w:rPr>
  </w:style>
  <w:style w:type="paragraph" w:styleId="IntenseQuote">
    <w:name w:val="Intense Quote"/>
    <w:basedOn w:val="Normal"/>
    <w:next w:val="Normal"/>
    <w:link w:val="IntenseQuoteChar"/>
    <w:uiPriority w:val="30"/>
    <w:qFormat/>
    <w:rsid w:val="009F2A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2AE2"/>
    <w:rPr>
      <w:i/>
      <w:iCs/>
      <w:color w:val="2F5496" w:themeColor="accent1" w:themeShade="BF"/>
    </w:rPr>
  </w:style>
  <w:style w:type="character" w:styleId="IntenseReference">
    <w:name w:val="Intense Reference"/>
    <w:basedOn w:val="DefaultParagraphFont"/>
    <w:uiPriority w:val="32"/>
    <w:qFormat/>
    <w:rsid w:val="009F2AE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568</Words>
  <Characters>3238</Characters>
  <Application>Microsoft Office Word</Application>
  <DocSecurity>0</DocSecurity>
  <Lines>26</Lines>
  <Paragraphs>7</Paragraphs>
  <ScaleCrop>false</ScaleCrop>
  <Company/>
  <LinksUpToDate>false</LinksUpToDate>
  <CharactersWithSpaces>3799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Ahza Taradiva Pasha</dc:creator>
  <cp:keywords/>
  <dc:description/>
  <cp:lastModifiedBy>Ahza Taradiva Pasha</cp:lastModifiedBy>
  <cp:revision>1</cp:revision>
  <dcterms:created xsi:type="dcterms:W3CDTF">2026-10-10T12:01:00Z</dcterms:created>
  <dcterms:modified xsi:type="dcterms:W3CDTF">2026-10-10T12:07:00Z</dcterms:modified>
</cp:coreProperties>
</file>