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240"/>
      </w:pPr>
      <w:r>
        <w:rPr>
          <w:rFonts w:ascii="Calibri" w:hAnsi="Calibri" w:eastAsia="Calibri"/>
          <w:b/>
          <w:color w:val="2E74B5"/>
          <w:sz w:val="20"/>
        </w:rPr>
        <w:t>TECHNICAL REPORT</w:t>
      </w:r>
    </w:p>
    <w:p>
      <w:pPr>
        <w:pStyle w:val="Title"/>
        <w:spacing w:after="100"/>
      </w:pPr>
      <w:r>
        <w:rPr>
          <w:rFonts w:ascii="Calibri" w:hAnsi="Calibri" w:eastAsia="Calibri"/>
          <w:b/>
          <w:color w:val="17324D"/>
          <w:sz w:val="62"/>
        </w:rPr>
        <w:t>TCGer iOS Scanner</w:t>
      </w:r>
    </w:p>
    <w:p>
      <w:pPr>
        <w:pStyle w:val="Subtitle"/>
      </w:pPr>
      <w:r>
        <w:rPr>
          <w:rFonts w:ascii="Calibri" w:hAnsi="Calibri" w:eastAsia="Calibri"/>
          <w:color w:val="5B6570"/>
          <w:sz w:val="30"/>
        </w:rPr>
        <w:t>Work completed, benchmark evidence, and available resources</w:t>
      </w:r>
    </w:p>
    <w:p>
      <w:pPr>
        <w:spacing w:before="160" w:after="560"/>
      </w:pPr>
      <w:r>
        <w:rPr>
          <w:rFonts w:ascii="Calibri" w:hAnsi="Calibri" w:eastAsia="Calibri"/>
          <w:color w:val="5B6570"/>
          <w:sz w:val="19"/>
        </w:rPr>
        <w:t>Prepared 9 August 2026  •  Workspace: /Users/ahmadjalil/github/TCGer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rHeight w:hRule="atLeast"/>
        </w:trPr>
        <w:tc>
          <w:tcPr>
            <w:tcW w:type="dxa" w:w="3120"/>
            <w:tcMar>
              <w:top w:w="80" w:type="dxa"/>
              <w:start w:w="120" w:type="dxa"/>
              <w:bottom w:w="80" w:type="dxa"/>
              <w:end w:w="120" w:type="dxa"/>
            </w:tcMar>
            <w:vAlign w:val="center"/>
            <w:shd w:fill="17324D"/>
          </w:tcPr>
          <w:p>
            <w:pPr>
              <w:spacing w:before="0" w:after="0" w:line="259" w:lineRule="auto"/>
            </w:pPr>
            <w:r/>
            <w:r>
              <w:rPr>
                <w:rFonts w:ascii="Calibri" w:hAnsi="Calibri" w:eastAsia="Calibri"/>
                <w:b/>
                <w:color w:val="FFFFFF"/>
                <w:sz w:val="36"/>
              </w:rPr>
              <w:t>90.3%</w:t>
            </w:r>
          </w:p>
        </w:tc>
        <w:tc>
          <w:tcPr>
            <w:tcW w:type="dxa" w:w="3120"/>
            <w:tcMar>
              <w:top w:w="80" w:type="dxa"/>
              <w:start w:w="120" w:type="dxa"/>
              <w:bottom w:w="80" w:type="dxa"/>
              <w:end w:w="120" w:type="dxa"/>
            </w:tcMar>
            <w:vAlign w:val="center"/>
            <w:shd w:fill="17324D"/>
          </w:tcPr>
          <w:p>
            <w:pPr>
              <w:spacing w:before="0" w:after="0" w:line="259" w:lineRule="auto"/>
            </w:pPr>
            <w:r/>
            <w:r>
              <w:rPr>
                <w:rFonts w:ascii="Calibri" w:hAnsi="Calibri" w:eastAsia="Calibri"/>
                <w:b/>
                <w:color w:val="FFFFFF"/>
                <w:sz w:val="36"/>
              </w:rPr>
              <w:t>100%</w:t>
            </w:r>
          </w:p>
        </w:tc>
        <w:tc>
          <w:tcPr>
            <w:tcW w:type="dxa" w:w="3120"/>
            <w:tcMar>
              <w:top w:w="80" w:type="dxa"/>
              <w:start w:w="120" w:type="dxa"/>
              <w:bottom w:w="80" w:type="dxa"/>
              <w:end w:w="120" w:type="dxa"/>
            </w:tcMar>
            <w:vAlign w:val="center"/>
            <w:shd w:fill="17324D"/>
          </w:tcPr>
          <w:p>
            <w:pPr>
              <w:spacing w:before="0" w:after="0" w:line="259" w:lineRule="auto"/>
            </w:pPr>
            <w:r/>
            <w:r>
              <w:rPr>
                <w:rFonts w:ascii="Calibri" w:hAnsi="Calibri" w:eastAsia="Calibri"/>
                <w:b/>
                <w:color w:val="FFFFFF"/>
                <w:sz w:val="36"/>
              </w:rPr>
              <w:t>62.5%</w:t>
            </w:r>
          </w:p>
        </w:tc>
      </w:tr>
      <w:tr>
        <w:trPr>
          <w:cantSplit/>
          <w:trHeight w:hRule="atLeast"/>
        </w:trPr>
        <w:tc>
          <w:tcPr>
            <w:tcW w:type="dxa" w:w="3120"/>
            <w:tcMar>
              <w:top w:w="80" w:type="dxa"/>
              <w:start w:w="120" w:type="dxa"/>
              <w:bottom w:w="80" w:type="dxa"/>
              <w:end w:w="120" w:type="dxa"/>
            </w:tcMar>
            <w:vAlign w:val="center"/>
            <w:shd w:fill="E8EEF5"/>
          </w:tcPr>
          <w:p>
            <w:pPr>
              <w:spacing w:before="0" w:after="0" w:line="259" w:lineRule="auto"/>
            </w:pPr>
            <w:r/>
            <w:r>
              <w:rPr>
                <w:rFonts w:ascii="Calibri" w:hAnsi="Calibri" w:eastAsia="Calibri"/>
                <w:b w:val="0"/>
                <w:color w:val="17324D"/>
                <w:sz w:val="17"/>
              </w:rPr>
              <w:t>IoU ≥ 0.50 localization</w:t>
            </w:r>
          </w:p>
        </w:tc>
        <w:tc>
          <w:tcPr>
            <w:tcW w:type="dxa" w:w="3120"/>
            <w:tcMar>
              <w:top w:w="80" w:type="dxa"/>
              <w:start w:w="120" w:type="dxa"/>
              <w:bottom w:w="80" w:type="dxa"/>
              <w:end w:w="120" w:type="dxa"/>
            </w:tcMar>
            <w:vAlign w:val="center"/>
            <w:shd w:fill="E8EEF5"/>
          </w:tcPr>
          <w:p>
            <w:pPr>
              <w:spacing w:before="0" w:after="0" w:line="259" w:lineRule="auto"/>
            </w:pPr>
            <w:r/>
            <w:r>
              <w:rPr>
                <w:rFonts w:ascii="Calibri" w:hAnsi="Calibri" w:eastAsia="Calibri"/>
                <w:b w:val="0"/>
                <w:color w:val="17324D"/>
                <w:sz w:val="17"/>
              </w:rPr>
              <w:t>Accepted exact-printing precision</w:t>
            </w:r>
          </w:p>
        </w:tc>
        <w:tc>
          <w:tcPr>
            <w:tcW w:type="dxa" w:w="3120"/>
            <w:tcMar>
              <w:top w:w="80" w:type="dxa"/>
              <w:start w:w="120" w:type="dxa"/>
              <w:bottom w:w="80" w:type="dxa"/>
              <w:end w:w="120" w:type="dxa"/>
            </w:tcMar>
            <w:vAlign w:val="center"/>
            <w:shd w:fill="E8EEF5"/>
          </w:tcPr>
          <w:p>
            <w:pPr>
              <w:spacing w:before="0" w:after="0" w:line="259" w:lineRule="auto"/>
            </w:pPr>
            <w:r/>
            <w:r>
              <w:rPr>
                <w:rFonts w:ascii="Calibri" w:hAnsi="Calibri" w:eastAsia="Calibri"/>
                <w:b w:val="0"/>
                <w:color w:val="17324D"/>
                <w:sz w:val="17"/>
              </w:rPr>
              <w:t>Exact-printing recall on 24 labeled fronts</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1440"/>
        <w:gridCol w:w="7920"/>
      </w:tblGrid>
      <w:tr>
        <w:trPr>
          <w:cantSplit/>
        </w:trPr>
        <w:tc>
          <w:tcPr>
            <w:tcW w:type="dxa" w:w="1440"/>
            <w:tcMar>
              <w:top w:w="80" w:type="dxa"/>
              <w:start w:w="120" w:type="dxa"/>
              <w:bottom w:w="80" w:type="dxa"/>
              <w:end w:w="120" w:type="dxa"/>
            </w:tcMar>
            <w:vAlign w:val="center"/>
            <w:shd w:fill="E9F5EE"/>
          </w:tcPr>
          <w:p>
            <w:pPr>
              <w:spacing w:before="0" w:after="0" w:line="259" w:lineRule="auto"/>
            </w:pPr>
            <w:r/>
            <w:r>
              <w:rPr>
                <w:rFonts w:ascii="Calibri" w:hAnsi="Calibri" w:eastAsia="Calibri"/>
                <w:b/>
                <w:color w:val="26734D"/>
                <w:sz w:val="16"/>
              </w:rPr>
              <w:t>CURRENT STATE</w:t>
            </w:r>
          </w:p>
        </w:tc>
        <w:tc>
          <w:tcPr>
            <w:tcW w:type="dxa" w:w="7920"/>
            <w:tcMar>
              <w:top w:w="80" w:type="dxa"/>
              <w:start w:w="120" w:type="dxa"/>
              <w:bottom w:w="80" w:type="dxa"/>
              <w:end w:w="120" w:type="dxa"/>
            </w:tcMar>
            <w:vAlign w:val="center"/>
            <w:shd w:fill="E9F5EE"/>
          </w:tcPr>
          <w:p>
            <w:pPr>
              <w:spacing w:before="0" w:after="0" w:line="259" w:lineRule="auto"/>
            </w:pPr>
            <w:r/>
            <w:r>
              <w:rPr>
                <w:rFonts w:ascii="Calibri" w:hAnsi="Calibri" w:eastAsia="Calibri"/>
                <w:b w:val="0"/>
                <w:color w:val="17324D"/>
                <w:sz w:val="19"/>
              </w:rPr>
              <w:t>The scanner is materially more reliable: card localization is model-driven, manual and automatic capture are distinct, accepted recognition results preserve printing-level precision, and the app’s required scanner assets are present locally.</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440"/>
        <w:gridCol w:w="7920"/>
      </w:tblGrid>
      <w:tr>
        <w:trPr>
          <w:cantSplit/>
        </w:trPr>
        <w:tc>
          <w:tcPr>
            <w:tcW w:type="dxa" w:w="1440"/>
            <w:tcMar>
              <w:top w:w="80" w:type="dxa"/>
              <w:start w:w="120" w:type="dxa"/>
              <w:bottom w:w="80" w:type="dxa"/>
              <w:end w:w="120" w:type="dxa"/>
            </w:tcMar>
            <w:vAlign w:val="center"/>
            <w:shd w:fill="FFF3D6"/>
          </w:tcPr>
          <w:p>
            <w:pPr>
              <w:spacing w:before="0" w:after="0" w:line="259" w:lineRule="auto"/>
            </w:pPr>
            <w:r/>
            <w:r>
              <w:rPr>
                <w:rFonts w:ascii="Calibri" w:hAnsi="Calibri" w:eastAsia="Calibri"/>
                <w:b/>
                <w:color w:val="8A5A00"/>
                <w:sz w:val="16"/>
              </w:rPr>
              <w:t>NEXT GATE</w:t>
            </w:r>
          </w:p>
        </w:tc>
        <w:tc>
          <w:tcPr>
            <w:tcW w:type="dxa" w:w="7920"/>
            <w:tcMar>
              <w:top w:w="80" w:type="dxa"/>
              <w:start w:w="120" w:type="dxa"/>
              <w:bottom w:w="80" w:type="dxa"/>
              <w:end w:w="120" w:type="dxa"/>
            </w:tcMar>
            <w:vAlign w:val="center"/>
            <w:shd w:fill="FFF3D6"/>
          </w:tcPr>
          <w:p>
            <w:pPr>
              <w:spacing w:before="0" w:after="0" w:line="259" w:lineRule="auto"/>
            </w:pPr>
            <w:r/>
            <w:r>
              <w:rPr>
                <w:rFonts w:ascii="Calibri" w:hAnsi="Calibri" w:eastAsia="Calibri"/>
                <w:b w:val="0"/>
                <w:color w:val="17324D"/>
                <w:sz w:val="19"/>
              </w:rPr>
              <w:t>Validate camera behavior and latency on a physical iPhone, then evaluate against a clean, independently captured single-card holdout before further threshold changes.</w:t>
            </w:r>
          </w:p>
        </w:tc>
      </w:tr>
    </w:tbl>
    <w:p>
      <w:pPr>
        <w:spacing w:after="20"/>
      </w:pPr>
    </w:p>
    <w:p>
      <w:pPr>
        <w:spacing w:before="480" w:after="40"/>
      </w:pPr>
      <w:r>
        <w:rPr>
          <w:rFonts w:ascii="Calibri" w:hAnsi="Calibri" w:eastAsia="Calibri"/>
          <w:b/>
          <w:color w:val="2E74B5"/>
          <w:sz w:val="20"/>
        </w:rPr>
        <w:t>Scope</w:t>
      </w:r>
    </w:p>
    <w:p>
      <w:pPr>
        <w:spacing w:after="0"/>
      </w:pPr>
      <w:r>
        <w:t>This report records the scanner UX changes, detection and recognition work, measured results, local datasets and model artifacts, supporting scripts, validation evidence, and the recommended path from today’s simulator-tested state to production confidence.</w:t>
      </w:r>
    </w:p>
    <w:p>
      <w:r>
        <w:br w:type="page"/>
      </w:r>
    </w:p>
    <w:p>
      <w:pPr>
        <w:pStyle w:val="Heading1"/>
      </w:pPr>
      <w:r>
        <w:t>1. Executive summary</w:t>
      </w:r>
    </w:p>
    <w:p>
      <w:r>
        <w:t>The scanner’s largest failure was not a single threshold. It was a stack of issues: generated assets could be absent from cloud builds, generic document detection returned poor card crops, automatic and manual behavior were conflated, and name-level matches could hide printing-level errors. The work addressed each layer separately and retained abstention as a deliberate safety behavior.</w:t>
      </w:r>
    </w:p>
    <w:p>
      <w:pPr>
        <w:pStyle w:val="ListBullet"/>
        <w:spacing w:after="80" w:line="300" w:lineRule="auto"/>
        <w:ind w:left="540" w:hanging="271"/>
      </w:pPr>
      <w:r>
        <w:rPr>
          <w:rFonts w:ascii="Calibri" w:hAnsi="Calibri" w:eastAsia="Calibri"/>
          <w:color w:val="111111"/>
          <w:sz w:val="21"/>
        </w:rPr>
        <w:t>UI and workflow: true Manual and Automatic modes were separated; Manual is the default shutter-driven, one-card-at-a-time experience.</w:t>
      </w:r>
    </w:p>
    <w:p>
      <w:pPr>
        <w:pStyle w:val="ListBullet"/>
        <w:spacing w:after="80" w:line="300" w:lineRule="auto"/>
        <w:ind w:left="540" w:hanging="271"/>
      </w:pPr>
      <w:r>
        <w:rPr>
          <w:rFonts w:ascii="Calibri" w:hAnsi="Calibri" w:eastAsia="Calibri"/>
          <w:color w:val="111111"/>
          <w:sz w:val="21"/>
        </w:rPr>
        <w:t>Localization: a bundled one-class Create ML detector now finds the card before Vision corner refinement and perspective correction.</w:t>
      </w:r>
    </w:p>
    <w:p>
      <w:pPr>
        <w:pStyle w:val="ListBullet"/>
        <w:spacing w:after="80" w:line="300" w:lineRule="auto"/>
        <w:ind w:left="540" w:hanging="271"/>
      </w:pPr>
      <w:r>
        <w:rPr>
          <w:rFonts w:ascii="Calibri" w:hAnsi="Calibri" w:eastAsia="Calibri"/>
          <w:color w:val="111111"/>
          <w:sz w:val="21"/>
        </w:rPr>
        <w:t>Recognition: the card-face gate remains conservative, while exact title and collector-number OCR recover supported captures without blindly lowering the gate.</w:t>
      </w:r>
    </w:p>
    <w:p>
      <w:pPr>
        <w:pStyle w:val="ListBullet"/>
        <w:spacing w:after="80" w:line="300" w:lineRule="auto"/>
        <w:ind w:left="540" w:hanging="271"/>
      </w:pPr>
      <w:r>
        <w:rPr>
          <w:rFonts w:ascii="Calibri" w:hAnsi="Calibri" w:eastAsia="Calibri"/>
          <w:color w:val="111111"/>
          <w:sz w:val="21"/>
        </w:rPr>
        <w:t>Printing safety: same-name near ties now abstain; an accepted card name is no longer treated as proof of the exact printing.</w:t>
      </w:r>
    </w:p>
    <w:p>
      <w:pPr>
        <w:pStyle w:val="ListBullet"/>
        <w:spacing w:after="80" w:line="300" w:lineRule="auto"/>
        <w:ind w:left="540" w:hanging="271"/>
      </w:pPr>
      <w:r>
        <w:rPr>
          <w:rFonts w:ascii="Calibri" w:hAnsi="Calibri" w:eastAsia="Calibri"/>
          <w:color w:val="111111"/>
          <w:sz w:val="21"/>
        </w:rPr>
        <w:t>Packaging: scanner model/index artifacts are tracked and validated so Xcode Cloud releases do not silently ship a scanner with missing assets.</w:t>
      </w:r>
    </w:p>
    <w:p>
      <w:pPr>
        <w:pStyle w:val="Heading1"/>
      </w:pPr>
      <w:r>
        <w:t>2. Product and interface changes</w:t>
      </w:r>
    </w:p>
    <w:tbl>
      <w:tblPr>
        <w:tblStyle w:val="TableGrid"/>
        <w:tblW w:type="dxa" w:w="9360"/>
        <w:jc w:val="left"/>
        <w:tblLayout w:type="fixed"/>
        <w:tblLook w:firstColumn="1" w:firstRow="1" w:lastColumn="0" w:lastRow="0" w:noHBand="0" w:noVBand="1" w:val="04A0"/>
        <w:tblInd w:w="120" w:type="dxa"/>
      </w:tblPr>
      <w:tblGrid>
        <w:gridCol w:w="1320"/>
        <w:gridCol w:w="2640"/>
        <w:gridCol w:w="3960"/>
        <w:gridCol w:w="1440"/>
      </w:tblGrid>
      <w:tr>
        <w:trPr>
          <w:tblHeader w:val="true"/>
          <w:cantSplit/>
        </w:trPr>
        <w:tc>
          <w:tcPr>
            <w:tcW w:type="dxa" w:w="132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Area</w:t>
            </w:r>
          </w:p>
        </w:tc>
        <w:tc>
          <w:tcPr>
            <w:tcW w:type="dxa" w:w="264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Change</w:t>
            </w:r>
          </w:p>
        </w:tc>
        <w:tc>
          <w:tcPr>
            <w:tcW w:type="dxa" w:w="396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User impact</w:t>
            </w:r>
          </w:p>
        </w:tc>
        <w:tc>
          <w:tcPr>
            <w:tcW w:type="dxa" w:w="144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Status</w:t>
            </w:r>
          </w:p>
        </w:tc>
      </w:tr>
      <w:tr>
        <w:trPr>
          <w:cantSplit/>
        </w:trPr>
        <w:tc>
          <w:tcPr>
            <w:tcW w:type="dxa" w:w="1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Capture mode</w:t>
            </w:r>
          </w:p>
        </w:tc>
        <w:tc>
          <w:tcPr>
            <w:tcW w:type="dxa" w:w="26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Added distinct Manual and Automatic trigger modes; Manual is the default.</w:t>
            </w:r>
          </w:p>
        </w:tc>
        <w:tc>
          <w:tcPr>
            <w:tcW w:type="dxa" w:w="3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The red shutter performs an intentional single-card scan. Automatic remains available for hands-free capture.</w:t>
            </w:r>
          </w:p>
        </w:tc>
        <w:tc>
          <w:tcPr>
            <w:tcW w:type="dxa" w:w="14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Implemented</w:t>
            </w:r>
          </w:p>
        </w:tc>
      </w:tr>
      <w:tr>
        <w:trPr>
          <w:cantSplit/>
        </w:trPr>
        <w:tc>
          <w:tcPr>
            <w:tcW w:type="dxa" w:w="1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Top controls</w:t>
            </w:r>
          </w:p>
        </w:tc>
        <w:tc>
          <w:tcPr>
            <w:tcW w:type="dxa" w:w="26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Moved the selected game control to the top-left.</w:t>
            </w:r>
          </w:p>
        </w:tc>
        <w:tc>
          <w:tcPr>
            <w:tcW w:type="dxa" w:w="3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The current card game is visible and reachable before capture.</w:t>
            </w:r>
          </w:p>
        </w:tc>
        <w:tc>
          <w:tcPr>
            <w:tcW w:type="dxa" w:w="14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Implemented</w:t>
            </w:r>
          </w:p>
        </w:tc>
      </w:tr>
      <w:tr>
        <w:trPr>
          <w:cantSplit/>
        </w:trPr>
        <w:tc>
          <w:tcPr>
            <w:tcW w:type="dxa" w:w="1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Offline label</w:t>
            </w:r>
          </w:p>
        </w:tc>
        <w:tc>
          <w:tcPr>
            <w:tcW w:type="dxa" w:w="26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Renamed “On-Device” to “Offline AI.”</w:t>
            </w:r>
          </w:p>
        </w:tc>
        <w:tc>
          <w:tcPr>
            <w:tcW w:type="dxa" w:w="3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The control communicates capability instead of implementation detail.</w:t>
            </w:r>
          </w:p>
        </w:tc>
        <w:tc>
          <w:tcPr>
            <w:tcW w:type="dxa" w:w="14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Implemented</w:t>
            </w:r>
          </w:p>
        </w:tc>
      </w:tr>
      <w:tr>
        <w:trPr>
          <w:cantSplit/>
        </w:trPr>
        <w:tc>
          <w:tcPr>
            <w:tcW w:type="dxa" w:w="1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Result tray</w:t>
            </w:r>
          </w:p>
        </w:tc>
        <w:tc>
          <w:tcPr>
            <w:tcW w:type="dxa" w:w="26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Reduced and constrained the result card inside its holder.</w:t>
            </w:r>
          </w:p>
        </w:tc>
        <w:tc>
          <w:tcPr>
            <w:tcW w:type="dxa" w:w="3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Name, set/number, confidence, thumbnail, count, and dismiss action no longer clip.</w:t>
            </w:r>
          </w:p>
        </w:tc>
        <w:tc>
          <w:tcPr>
            <w:tcW w:type="dxa" w:w="14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Implemented</w:t>
            </w:r>
          </w:p>
        </w:tc>
      </w:tr>
      <w:tr>
        <w:trPr>
          <w:cantSplit/>
        </w:trPr>
        <w:tc>
          <w:tcPr>
            <w:tcW w:type="dxa" w:w="1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Scan frame</w:t>
            </w:r>
          </w:p>
        </w:tc>
        <w:tc>
          <w:tcPr>
            <w:tcW w:type="dxa" w:w="26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Aligned the red corner-guide radius with the inner frame radius.</w:t>
            </w:r>
          </w:p>
        </w:tc>
        <w:tc>
          <w:tcPr>
            <w:tcW w:type="dxa" w:w="3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The framing overlay is visually consistent.</w:t>
            </w:r>
          </w:p>
        </w:tc>
        <w:tc>
          <w:tcPr>
            <w:tcW w:type="dxa" w:w="14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Implemented</w:t>
            </w:r>
          </w:p>
        </w:tc>
      </w:tr>
      <w:tr>
        <w:trPr>
          <w:cantSplit/>
        </w:trPr>
        <w:tc>
          <w:tcPr>
            <w:tcW w:type="dxa" w:w="1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Scanner Debug</w:t>
            </w:r>
          </w:p>
        </w:tc>
        <w:tc>
          <w:tcPr>
            <w:tcW w:type="dxa" w:w="26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Replaced the always-expanded asset inventory with a button that opens a medium/large sheet.</w:t>
            </w:r>
          </w:p>
        </w:tc>
        <w:tc>
          <w:tcPr>
            <w:tcW w:type="dxa" w:w="3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The debug screen stays focused while detailed asset state remains available on demand.</w:t>
            </w:r>
          </w:p>
        </w:tc>
        <w:tc>
          <w:tcPr>
            <w:tcW w:type="dxa" w:w="14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Implemented</w:t>
            </w:r>
          </w:p>
        </w:tc>
      </w:tr>
    </w:tbl>
    <w:p>
      <w:pPr>
        <w:spacing w:after="40"/>
      </w:pPr>
    </w:p>
    <w:p>
      <w:pPr>
        <w:pStyle w:val="Heading1"/>
      </w:pPr>
      <w:r>
        <w:t>3. Current scanner pipeline</w:t>
      </w:r>
    </w:p>
    <w:p>
      <w:r>
        <w:t>The production path now combines a learned detector with deterministic geometry, embedding retrieval, OCR evidence, and explicit rejection. This matters because no single signal is reliable across glare, sleeves, skew, old printings, foreign-language cards, binders, and card backs.</w:t>
      </w:r>
    </w:p>
    <w:p>
      <w:pPr>
        <w:spacing w:after="60" w:line="276" w:lineRule="auto"/>
        <w:ind w:left="540" w:hanging="271"/>
      </w:pPr>
      <w:r>
        <w:rPr>
          <w:rFonts w:ascii="Calibri" w:hAnsi="Calibri" w:eastAsia="Calibri"/>
          <w:color w:val="111111"/>
          <w:sz w:val="20"/>
        </w:rPr>
        <w:t xml:space="preserve">1.  </w:t>
      </w:r>
      <w:r>
        <w:rPr>
          <w:rFonts w:ascii="Calibri" w:hAnsi="Calibri" w:eastAsia="Calibri"/>
          <w:b/>
          <w:color w:val="17324D"/>
          <w:sz w:val="20"/>
        </w:rPr>
        <w:t xml:space="preserve">Capture. </w:t>
      </w:r>
      <w:r>
        <w:rPr>
          <w:rFonts w:ascii="Calibri" w:hAnsi="Calibri" w:eastAsia="Calibri"/>
          <w:color w:val="111111"/>
          <w:sz w:val="20"/>
        </w:rPr>
        <w:t>Manual shutter or automatic live preview supplies a frame. Accurate OCR rescue is restricted to intentional photo capture.</w:t>
      </w:r>
    </w:p>
    <w:p>
      <w:pPr>
        <w:spacing w:after="60" w:line="276" w:lineRule="auto"/>
        <w:ind w:left="540" w:hanging="271"/>
      </w:pPr>
      <w:r>
        <w:rPr>
          <w:rFonts w:ascii="Calibri" w:hAnsi="Calibri" w:eastAsia="Calibri"/>
          <w:color w:val="111111"/>
          <w:sz w:val="20"/>
        </w:rPr>
        <w:t xml:space="preserve">2.  </w:t>
      </w:r>
      <w:r>
        <w:rPr>
          <w:rFonts w:ascii="Calibri" w:hAnsi="Calibri" w:eastAsia="Calibri"/>
          <w:b/>
          <w:color w:val="17324D"/>
          <w:sz w:val="20"/>
        </w:rPr>
        <w:t xml:space="preserve">Locate. </w:t>
      </w:r>
      <w:r>
        <w:rPr>
          <w:rFonts w:ascii="Calibri" w:hAnsi="Calibri" w:eastAsia="Calibri"/>
          <w:color w:val="111111"/>
          <w:sz w:val="20"/>
        </w:rPr>
        <w:t>CardDetector.mlmodel returns card boxes at confidence ≥ 0.50 using a Vision Core ML request.</w:t>
      </w:r>
    </w:p>
    <w:p>
      <w:pPr>
        <w:spacing w:after="60" w:line="276" w:lineRule="auto"/>
        <w:ind w:left="540" w:hanging="271"/>
      </w:pPr>
      <w:r>
        <w:rPr>
          <w:rFonts w:ascii="Calibri" w:hAnsi="Calibri" w:eastAsia="Calibri"/>
          <w:color w:val="111111"/>
          <w:sz w:val="20"/>
        </w:rPr>
        <w:t xml:space="preserve">3.  </w:t>
      </w:r>
      <w:r>
        <w:rPr>
          <w:rFonts w:ascii="Calibri" w:hAnsi="Calibri" w:eastAsia="Calibri"/>
          <w:b/>
          <w:color w:val="17324D"/>
          <w:sz w:val="20"/>
        </w:rPr>
        <w:t xml:space="preserve">Refine crop. </w:t>
      </w:r>
      <w:r>
        <w:rPr>
          <w:rFonts w:ascii="Calibri" w:hAnsi="Calibri" w:eastAsia="Calibri"/>
          <w:color w:val="111111"/>
          <w:sz w:val="20"/>
        </w:rPr>
        <w:t>Vision document/rectangle geometry refines a detector box when overlap agrees; otherwise the detector box is used. Landscape crops rotate to portrait and normalize to 720×1000.</w:t>
      </w:r>
    </w:p>
    <w:p>
      <w:pPr>
        <w:spacing w:after="60" w:line="276" w:lineRule="auto"/>
        <w:ind w:left="540" w:hanging="271"/>
      </w:pPr>
      <w:r>
        <w:rPr>
          <w:rFonts w:ascii="Calibri" w:hAnsi="Calibri" w:eastAsia="Calibri"/>
          <w:color w:val="111111"/>
          <w:sz w:val="20"/>
        </w:rPr>
        <w:t xml:space="preserve">4.  </w:t>
      </w:r>
      <w:r>
        <w:rPr>
          <w:rFonts w:ascii="Calibri" w:hAnsi="Calibri" w:eastAsia="Calibri"/>
          <w:b/>
          <w:color w:val="17324D"/>
          <w:sz w:val="20"/>
        </w:rPr>
        <w:t xml:space="preserve">Reject non-cards. </w:t>
      </w:r>
      <w:r>
        <w:rPr>
          <w:rFonts w:ascii="Calibri" w:hAnsi="Calibri" w:eastAsia="Calibri"/>
          <w:color w:val="111111"/>
          <w:sz w:val="20"/>
        </w:rPr>
        <w:t>The DINOv2 card-face gate retains its 0.45 recommendation and is authoritative unless footer OCR confirms an exact collector number.</w:t>
      </w:r>
    </w:p>
    <w:p>
      <w:pPr>
        <w:spacing w:after="60" w:line="276" w:lineRule="auto"/>
        <w:ind w:left="540" w:hanging="271"/>
      </w:pPr>
      <w:r>
        <w:rPr>
          <w:rFonts w:ascii="Calibri" w:hAnsi="Calibri" w:eastAsia="Calibri"/>
          <w:color w:val="111111"/>
          <w:sz w:val="20"/>
        </w:rPr>
        <w:t xml:space="preserve">5.  </w:t>
      </w:r>
      <w:r>
        <w:rPr>
          <w:rFonts w:ascii="Calibri" w:hAnsi="Calibri" w:eastAsia="Calibri"/>
          <w:b/>
          <w:color w:val="17324D"/>
          <w:sz w:val="20"/>
        </w:rPr>
        <w:t xml:space="preserve">Retrieve. </w:t>
      </w:r>
      <w:r>
        <w:rPr>
          <w:rFonts w:ascii="Calibri" w:hAnsi="Calibri" w:eastAsia="Calibri"/>
          <w:color w:val="111111"/>
          <w:sz w:val="20"/>
        </w:rPr>
        <w:t>A 384-dimensional embedding queries 21,828 indexed Pokémon entries.</w:t>
      </w:r>
    </w:p>
    <w:p>
      <w:pPr>
        <w:spacing w:after="60" w:line="276" w:lineRule="auto"/>
        <w:ind w:left="540" w:hanging="271"/>
      </w:pPr>
      <w:r>
        <w:rPr>
          <w:rFonts w:ascii="Calibri" w:hAnsi="Calibri" w:eastAsia="Calibri"/>
          <w:color w:val="111111"/>
          <w:sz w:val="20"/>
        </w:rPr>
        <w:t xml:space="preserve">6.  </w:t>
      </w:r>
      <w:r>
        <w:rPr>
          <w:rFonts w:ascii="Calibri" w:hAnsi="Calibri" w:eastAsia="Calibri"/>
          <w:b/>
          <w:color w:val="17324D"/>
          <w:sz w:val="20"/>
        </w:rPr>
        <w:t xml:space="preserve">Add OCR evidence. </w:t>
      </w:r>
      <w:r>
        <w:rPr>
          <w:rFonts w:ascii="Calibri" w:hAnsi="Calibri" w:eastAsia="Calibri"/>
          <w:color w:val="111111"/>
          <w:sz w:val="20"/>
        </w:rPr>
        <w:t>Exact normalized title OCR constrains uncertain photo retrieval; collector-number OCR can identify the printing.</w:t>
      </w:r>
    </w:p>
    <w:p>
      <w:pPr>
        <w:spacing w:after="60" w:line="276" w:lineRule="auto"/>
        <w:ind w:left="540" w:hanging="271"/>
      </w:pPr>
      <w:r>
        <w:rPr>
          <w:rFonts w:ascii="Calibri" w:hAnsi="Calibri" w:eastAsia="Calibri"/>
          <w:color w:val="111111"/>
          <w:sz w:val="20"/>
        </w:rPr>
        <w:t xml:space="preserve">7.  </w:t>
      </w:r>
      <w:r>
        <w:rPr>
          <w:rFonts w:ascii="Calibri" w:hAnsi="Calibri" w:eastAsia="Calibri"/>
          <w:b/>
          <w:color w:val="17324D"/>
          <w:sz w:val="20"/>
        </w:rPr>
        <w:t xml:space="preserve">Resolve or abstain. </w:t>
      </w:r>
      <w:r>
        <w:rPr>
          <w:rFonts w:ascii="Calibri" w:hAnsi="Calibri" w:eastAsia="Calibri"/>
          <w:color w:val="111111"/>
          <w:sz w:val="20"/>
        </w:rPr>
        <w:t>Low evidence, near-tied same-name printings, unsupported language/content, and ambiguous printings abstain instead of returning a plausible but wrong result.</w:t>
      </w:r>
    </w:p>
    <w:p>
      <w:pPr>
        <w:spacing w:after="60" w:line="276" w:lineRule="auto"/>
        <w:ind w:left="540" w:hanging="271"/>
      </w:pPr>
      <w:r>
        <w:rPr>
          <w:rFonts w:ascii="Calibri" w:hAnsi="Calibri" w:eastAsia="Calibri"/>
          <w:color w:val="111111"/>
          <w:sz w:val="20"/>
        </w:rPr>
        <w:t xml:space="preserve">8.  </w:t>
      </w:r>
      <w:r>
        <w:rPr>
          <w:rFonts w:ascii="Calibri" w:hAnsi="Calibri" w:eastAsia="Calibri"/>
          <w:b/>
          <w:color w:val="17324D"/>
          <w:sz w:val="20"/>
        </w:rPr>
        <w:t xml:space="preserve">Present result. </w:t>
      </w:r>
      <w:r>
        <w:rPr>
          <w:rFonts w:ascii="Calibri" w:hAnsi="Calibri" w:eastAsia="Calibri"/>
          <w:color w:val="111111"/>
          <w:sz w:val="20"/>
        </w:rPr>
        <w:t>The compact result tray displays the resolved printing and supports session count/dismiss actions.</w:t>
      </w:r>
    </w:p>
    <w:p>
      <w:pPr>
        <w:pStyle w:val="Heading1"/>
      </w:pPr>
      <w:r>
        <w:t>4. Detection model and dataset work</w:t>
      </w:r>
    </w:p>
    <w:p>
      <w:pPr>
        <w:pStyle w:val="Heading2"/>
      </w:pPr>
      <w:r>
        <w:t>Training corpus</w:t>
      </w:r>
    </w:p>
    <w:p>
      <w:r>
        <w:t>Five Roboflow exports were downloaded, normalized into a replay archive, and converted into a Create ML object-detection dataset. The local dataset workspace currently occupies about 650 MB.</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shd w:fill="E8EEF5"/>
            <w:tcMar>
              <w:top w:w="80" w:type="dxa"/>
              <w:start w:w="120" w:type="dxa"/>
              <w:bottom w:w="80" w:type="dxa"/>
              <w:end w:w="120" w:type="dxa"/>
            </w:tcMar>
            <w:vAlign w:val="center"/>
          </w:tcPr>
          <w:p>
            <w:pPr>
              <w:keepNext/>
              <w:spacing w:before="0" w:after="0" w:line="259" w:lineRule="auto"/>
            </w:pPr>
            <w:r/>
            <w:r>
              <w:rPr>
                <w:rFonts w:ascii="Calibri" w:hAnsi="Calibri" w:eastAsia="Calibri"/>
                <w:b/>
                <w:color w:val="17324D"/>
                <w:sz w:val="17"/>
              </w:rPr>
              <w:t>Split</w:t>
            </w:r>
          </w:p>
        </w:tc>
        <w:tc>
          <w:tcPr>
            <w:tcW w:type="dxa" w:w="3120"/>
            <w:shd w:fill="E8EEF5"/>
            <w:tcMar>
              <w:top w:w="80" w:type="dxa"/>
              <w:start w:w="120" w:type="dxa"/>
              <w:bottom w:w="80" w:type="dxa"/>
              <w:end w:w="120" w:type="dxa"/>
            </w:tcMar>
            <w:vAlign w:val="center"/>
          </w:tcPr>
          <w:p>
            <w:pPr>
              <w:keepNext/>
              <w:spacing w:before="0" w:after="0" w:line="259" w:lineRule="auto"/>
            </w:pPr>
            <w:r/>
            <w:r>
              <w:rPr>
                <w:rFonts w:ascii="Calibri" w:hAnsi="Calibri" w:eastAsia="Calibri"/>
                <w:b/>
                <w:color w:val="17324D"/>
                <w:sz w:val="17"/>
              </w:rPr>
              <w:t>Images</w:t>
            </w:r>
          </w:p>
        </w:tc>
        <w:tc>
          <w:tcPr>
            <w:tcW w:type="dxa" w:w="3120"/>
            <w:shd w:fill="E8EEF5"/>
            <w:tcMar>
              <w:top w:w="80" w:type="dxa"/>
              <w:start w:w="120" w:type="dxa"/>
              <w:bottom w:w="80" w:type="dxa"/>
              <w:end w:w="120" w:type="dxa"/>
            </w:tcMar>
            <w:vAlign w:val="center"/>
          </w:tcPr>
          <w:p>
            <w:pPr>
              <w:keepNext/>
              <w:spacing w:before="0" w:after="0" w:line="259" w:lineRule="auto"/>
            </w:pPr>
            <w:r/>
            <w:r>
              <w:rPr>
                <w:rFonts w:ascii="Calibri" w:hAnsi="Calibri" w:eastAsia="Calibri"/>
                <w:b/>
                <w:color w:val="17324D"/>
                <w:sz w:val="17"/>
              </w:rPr>
              <w:t>Card boxes</w:t>
            </w:r>
          </w:p>
        </w:tc>
      </w:tr>
      <w:tr>
        <w:trPr>
          <w:cantSplit/>
        </w:trPr>
        <w:tc>
          <w:tcPr>
            <w:tcW w:type="dxa" w:w="312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Train</w:t>
            </w:r>
          </w:p>
        </w:tc>
        <w:tc>
          <w:tcPr>
            <w:tcW w:type="dxa" w:w="312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1,948</w:t>
            </w:r>
          </w:p>
        </w:tc>
        <w:tc>
          <w:tcPr>
            <w:tcW w:type="dxa" w:w="312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2,932</w:t>
            </w:r>
          </w:p>
        </w:tc>
      </w:tr>
      <w:tr>
        <w:trPr>
          <w:cantSplit/>
        </w:trPr>
        <w:tc>
          <w:tcPr>
            <w:tcW w:type="dxa" w:w="312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Validation</w:t>
            </w:r>
          </w:p>
        </w:tc>
        <w:tc>
          <w:tcPr>
            <w:tcW w:type="dxa" w:w="312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242</w:t>
            </w:r>
          </w:p>
        </w:tc>
        <w:tc>
          <w:tcPr>
            <w:tcW w:type="dxa" w:w="312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331</w:t>
            </w:r>
          </w:p>
        </w:tc>
      </w:tr>
      <w:tr>
        <w:trPr>
          <w:cantSplit/>
        </w:trPr>
        <w:tc>
          <w:tcPr>
            <w:tcW w:type="dxa" w:w="3120"/>
            <w:tcMar>
              <w:top w:w="80" w:type="dxa"/>
              <w:start w:w="120" w:type="dxa"/>
              <w:bottom w:w="80" w:type="dxa"/>
              <w:end w:w="120" w:type="dxa"/>
            </w:tcMar>
            <w:vAlign w:val="center"/>
          </w:tcPr>
          <w:p>
            <w:pPr>
              <w:keepNext w:val="0"/>
              <w:spacing w:before="0" w:after="0" w:line="259" w:lineRule="auto"/>
            </w:pPr>
            <w:r/>
            <w:r>
              <w:rPr>
                <w:rFonts w:ascii="Calibri" w:hAnsi="Calibri" w:eastAsia="Calibri"/>
                <w:b w:val="0"/>
                <w:color w:val="111111"/>
                <w:sz w:val="18"/>
              </w:rPr>
              <w:t>Held-out test</w:t>
            </w:r>
          </w:p>
        </w:tc>
        <w:tc>
          <w:tcPr>
            <w:tcW w:type="dxa" w:w="3120"/>
            <w:tcMar>
              <w:top w:w="80" w:type="dxa"/>
              <w:start w:w="120" w:type="dxa"/>
              <w:bottom w:w="80" w:type="dxa"/>
              <w:end w:w="120" w:type="dxa"/>
            </w:tcMar>
            <w:vAlign w:val="center"/>
          </w:tcPr>
          <w:p>
            <w:pPr>
              <w:keepNext w:val="0"/>
              <w:spacing w:before="0" w:after="0" w:line="259" w:lineRule="auto"/>
            </w:pPr>
            <w:r/>
            <w:r>
              <w:rPr>
                <w:rFonts w:ascii="Calibri" w:hAnsi="Calibri" w:eastAsia="Calibri"/>
                <w:b w:val="0"/>
                <w:color w:val="111111"/>
                <w:sz w:val="18"/>
              </w:rPr>
              <w:t>136</w:t>
            </w:r>
          </w:p>
        </w:tc>
        <w:tc>
          <w:tcPr>
            <w:tcW w:type="dxa" w:w="3120"/>
            <w:tcMar>
              <w:top w:w="80" w:type="dxa"/>
              <w:start w:w="120" w:type="dxa"/>
              <w:bottom w:w="80" w:type="dxa"/>
              <w:end w:w="120" w:type="dxa"/>
            </w:tcMar>
            <w:vAlign w:val="center"/>
          </w:tcPr>
          <w:p>
            <w:pPr>
              <w:keepNext w:val="0"/>
              <w:spacing w:before="0" w:after="0" w:line="259" w:lineRule="auto"/>
            </w:pPr>
            <w:r/>
            <w:r>
              <w:rPr>
                <w:rFonts w:ascii="Calibri" w:hAnsi="Calibri" w:eastAsia="Calibri"/>
                <w:b w:val="0"/>
                <w:color w:val="111111"/>
                <w:sz w:val="18"/>
              </w:rPr>
              <w:t>166</w:t>
            </w:r>
          </w:p>
        </w:tc>
      </w:tr>
    </w:tbl>
    <w:p>
      <w:pPr>
        <w:spacing w:after="40"/>
      </w:pPr>
    </w:p>
    <w:p>
      <w:pPr>
        <w:pStyle w:val="Heading2"/>
      </w:pPr>
      <w:r>
        <w:t>Create ML detector metrics</w:t>
      </w:r>
    </w:p>
    <w:tbl>
      <w:tblPr>
        <w:tblStyle w:val="TableGrid"/>
        <w:tblW w:type="dxa" w:w="9360"/>
        <w:jc w:val="left"/>
        <w:tblLayout w:type="fixed"/>
        <w:tblLook w:firstColumn="1" w:firstRow="1" w:lastColumn="0" w:lastRow="0" w:noHBand="0" w:noVBand="1" w:val="04A0"/>
        <w:tblInd w:w="120" w:type="dxa"/>
      </w:tblPr>
      <w:tblGrid>
        <w:gridCol w:w="4680"/>
        <w:gridCol w:w="2340"/>
        <w:gridCol w:w="2340"/>
      </w:tblGrid>
      <w:tr>
        <w:trPr>
          <w:tblHeader w:val="true"/>
          <w:cantSplit/>
        </w:trPr>
        <w:tc>
          <w:tcPr>
            <w:tcW w:type="dxa" w:w="4680"/>
            <w:shd w:fill="E8EEF5"/>
            <w:tcMar>
              <w:top w:w="80" w:type="dxa"/>
              <w:start w:w="120" w:type="dxa"/>
              <w:bottom w:w="80" w:type="dxa"/>
              <w:end w:w="120" w:type="dxa"/>
            </w:tcMar>
            <w:vAlign w:val="center"/>
          </w:tcPr>
          <w:p>
            <w:pPr>
              <w:keepNext/>
              <w:spacing w:before="0" w:after="0" w:line="259" w:lineRule="auto"/>
            </w:pPr>
            <w:r/>
            <w:r>
              <w:rPr>
                <w:rFonts w:ascii="Calibri" w:hAnsi="Calibri" w:eastAsia="Calibri"/>
                <w:b/>
                <w:color w:val="17324D"/>
                <w:sz w:val="17"/>
              </w:rPr>
              <w:t>Evaluation</w:t>
            </w:r>
          </w:p>
        </w:tc>
        <w:tc>
          <w:tcPr>
            <w:tcW w:type="dxa" w:w="2340"/>
            <w:shd w:fill="E8EEF5"/>
            <w:tcMar>
              <w:top w:w="80" w:type="dxa"/>
              <w:start w:w="120" w:type="dxa"/>
              <w:bottom w:w="80" w:type="dxa"/>
              <w:end w:w="120" w:type="dxa"/>
            </w:tcMar>
            <w:vAlign w:val="center"/>
          </w:tcPr>
          <w:p>
            <w:pPr>
              <w:keepNext/>
              <w:spacing w:before="0" w:after="0" w:line="259" w:lineRule="auto"/>
            </w:pPr>
            <w:r/>
            <w:r>
              <w:rPr>
                <w:rFonts w:ascii="Calibri" w:hAnsi="Calibri" w:eastAsia="Calibri"/>
                <w:b/>
                <w:color w:val="17324D"/>
                <w:sz w:val="17"/>
              </w:rPr>
              <w:t>AP50</w:t>
            </w:r>
          </w:p>
        </w:tc>
        <w:tc>
          <w:tcPr>
            <w:tcW w:type="dxa" w:w="2340"/>
            <w:shd w:fill="E8EEF5"/>
            <w:tcMar>
              <w:top w:w="80" w:type="dxa"/>
              <w:start w:w="120" w:type="dxa"/>
              <w:bottom w:w="80" w:type="dxa"/>
              <w:end w:w="120" w:type="dxa"/>
            </w:tcMar>
            <w:vAlign w:val="center"/>
          </w:tcPr>
          <w:p>
            <w:pPr>
              <w:keepNext/>
              <w:spacing w:before="0" w:after="0" w:line="259" w:lineRule="auto"/>
            </w:pPr>
            <w:r/>
            <w:r>
              <w:rPr>
                <w:rFonts w:ascii="Calibri" w:hAnsi="Calibri" w:eastAsia="Calibri"/>
                <w:b/>
                <w:color w:val="17324D"/>
                <w:sz w:val="17"/>
              </w:rPr>
              <w:t>COCO-style mAP</w:t>
            </w:r>
          </w:p>
        </w:tc>
      </w:tr>
      <w:tr>
        <w:trPr>
          <w:cantSplit/>
        </w:trPr>
        <w:tc>
          <w:tcPr>
            <w:tcW w:type="dxa" w:w="468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Training</w:t>
            </w:r>
          </w:p>
        </w:tc>
        <w:tc>
          <w:tcPr>
            <w:tcW w:type="dxa" w:w="234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74.75%</w:t>
            </w:r>
          </w:p>
        </w:tc>
        <w:tc>
          <w:tcPr>
            <w:tcW w:type="dxa" w:w="234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35.59%</w:t>
            </w:r>
          </w:p>
        </w:tc>
      </w:tr>
      <w:tr>
        <w:trPr>
          <w:cantSplit/>
        </w:trPr>
        <w:tc>
          <w:tcPr>
            <w:tcW w:type="dxa" w:w="468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Validation</w:t>
            </w:r>
          </w:p>
        </w:tc>
        <w:tc>
          <w:tcPr>
            <w:tcW w:type="dxa" w:w="234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86.90%</w:t>
            </w:r>
          </w:p>
        </w:tc>
        <w:tc>
          <w:tcPr>
            <w:tcW w:type="dxa" w:w="2340"/>
            <w:tcMar>
              <w:top w:w="80" w:type="dxa"/>
              <w:start w:w="120" w:type="dxa"/>
              <w:bottom w:w="80" w:type="dxa"/>
              <w:end w:w="120" w:type="dxa"/>
            </w:tcMar>
            <w:vAlign w:val="center"/>
          </w:tcPr>
          <w:p>
            <w:pPr>
              <w:keepNext/>
              <w:spacing w:before="0" w:after="0" w:line="259" w:lineRule="auto"/>
            </w:pPr>
            <w:r/>
            <w:r>
              <w:rPr>
                <w:rFonts w:ascii="Calibri" w:hAnsi="Calibri" w:eastAsia="Calibri"/>
                <w:b w:val="0"/>
                <w:color w:val="111111"/>
                <w:sz w:val="18"/>
              </w:rPr>
              <w:t>46.64%</w:t>
            </w:r>
          </w:p>
        </w:tc>
      </w:tr>
      <w:tr>
        <w:trPr>
          <w:cantSplit/>
        </w:trPr>
        <w:tc>
          <w:tcPr>
            <w:tcW w:type="dxa" w:w="4680"/>
            <w:tcMar>
              <w:top w:w="80" w:type="dxa"/>
              <w:start w:w="120" w:type="dxa"/>
              <w:bottom w:w="80" w:type="dxa"/>
              <w:end w:w="120" w:type="dxa"/>
            </w:tcMar>
            <w:vAlign w:val="center"/>
          </w:tcPr>
          <w:p>
            <w:pPr>
              <w:keepNext w:val="0"/>
              <w:spacing w:before="0" w:after="0" w:line="259" w:lineRule="auto"/>
            </w:pPr>
            <w:r/>
            <w:r>
              <w:rPr>
                <w:rFonts w:ascii="Calibri" w:hAnsi="Calibri" w:eastAsia="Calibri"/>
                <w:b w:val="0"/>
                <w:color w:val="111111"/>
                <w:sz w:val="18"/>
              </w:rPr>
              <w:t>Held-out test</w:t>
            </w:r>
          </w:p>
        </w:tc>
        <w:tc>
          <w:tcPr>
            <w:tcW w:type="dxa" w:w="2340"/>
            <w:tcMar>
              <w:top w:w="80" w:type="dxa"/>
              <w:start w:w="120" w:type="dxa"/>
              <w:bottom w:w="80" w:type="dxa"/>
              <w:end w:w="120" w:type="dxa"/>
            </w:tcMar>
            <w:vAlign w:val="center"/>
          </w:tcPr>
          <w:p>
            <w:pPr>
              <w:keepNext w:val="0"/>
              <w:spacing w:before="0" w:after="0" w:line="259" w:lineRule="auto"/>
            </w:pPr>
            <w:r/>
            <w:r>
              <w:rPr>
                <w:rFonts w:ascii="Calibri" w:hAnsi="Calibri" w:eastAsia="Calibri"/>
                <w:b w:val="0"/>
                <w:color w:val="111111"/>
                <w:sz w:val="18"/>
              </w:rPr>
              <w:t>87.19%</w:t>
            </w:r>
          </w:p>
        </w:tc>
        <w:tc>
          <w:tcPr>
            <w:tcW w:type="dxa" w:w="2340"/>
            <w:tcMar>
              <w:top w:w="80" w:type="dxa"/>
              <w:start w:w="120" w:type="dxa"/>
              <w:bottom w:w="80" w:type="dxa"/>
              <w:end w:w="120" w:type="dxa"/>
            </w:tcMar>
            <w:vAlign w:val="center"/>
          </w:tcPr>
          <w:p>
            <w:pPr>
              <w:keepNext w:val="0"/>
              <w:spacing w:before="0" w:after="0" w:line="259" w:lineRule="auto"/>
            </w:pPr>
            <w:r/>
            <w:r>
              <w:rPr>
                <w:rFonts w:ascii="Calibri" w:hAnsi="Calibri" w:eastAsia="Calibri"/>
                <w:b w:val="0"/>
                <w:color w:val="111111"/>
                <w:sz w:val="18"/>
              </w:rPr>
              <w:t>57.97%</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440"/>
        <w:gridCol w:w="7920"/>
      </w:tblGrid>
      <w:tr>
        <w:trPr>
          <w:cantSplit/>
        </w:trPr>
        <w:tc>
          <w:tcPr>
            <w:tcW w:type="dxa" w:w="1440"/>
            <w:tcMar>
              <w:top w:w="80" w:type="dxa"/>
              <w:start w:w="120" w:type="dxa"/>
              <w:bottom w:w="80" w:type="dxa"/>
              <w:end w:w="120" w:type="dxa"/>
            </w:tcMar>
            <w:vAlign w:val="center"/>
            <w:shd w:fill="FFF3D6"/>
          </w:tcPr>
          <w:p>
            <w:pPr>
              <w:spacing w:before="0" w:after="0" w:line="259" w:lineRule="auto"/>
            </w:pPr>
            <w:r/>
            <w:r>
              <w:rPr>
                <w:rFonts w:ascii="Calibri" w:hAnsi="Calibri" w:eastAsia="Calibri"/>
                <w:b/>
                <w:color w:val="8A5A00"/>
                <w:sz w:val="16"/>
              </w:rPr>
              <w:t>INTERPRETATION</w:t>
            </w:r>
          </w:p>
        </w:tc>
        <w:tc>
          <w:tcPr>
            <w:tcW w:type="dxa" w:w="7920"/>
            <w:tcMar>
              <w:top w:w="80" w:type="dxa"/>
              <w:start w:w="120" w:type="dxa"/>
              <w:bottom w:w="80" w:type="dxa"/>
              <w:end w:w="120" w:type="dxa"/>
            </w:tcMar>
            <w:vAlign w:val="center"/>
            <w:shd w:fill="FFF3D6"/>
          </w:tcPr>
          <w:p>
            <w:pPr>
              <w:spacing w:before="0" w:after="0" w:line="259" w:lineRule="auto"/>
            </w:pPr>
            <w:r/>
            <w:r>
              <w:rPr>
                <w:rFonts w:ascii="Calibri" w:hAnsi="Calibri" w:eastAsia="Calibri"/>
                <w:b w:val="0"/>
                <w:color w:val="17324D"/>
                <w:sz w:val="19"/>
              </w:rPr>
              <w:t>The model is a strong localization improvement, but the large replay combines the downloaded archives used to prepare training data. Treat the replay as regression evidence, not as a fully independent estimate of real-world generalization.</w:t>
            </w:r>
          </w:p>
        </w:tc>
      </w:tr>
    </w:tbl>
    <w:p>
      <w:pPr>
        <w:spacing w:after="20"/>
      </w:pPr>
    </w:p>
    <w:p>
      <w:pPr>
        <w:pStyle w:val="Heading1"/>
      </w:pPr>
      <w:r>
        <w:t>5. Measured results</w:t>
      </w:r>
    </w:p>
    <w:p>
      <w:pPr>
        <w:pStyle w:val="Heading2"/>
      </w:pPr>
      <w:r>
        <w:t>Localization replay: 2,336 images</w:t>
      </w:r>
    </w:p>
    <w:tbl>
      <w:tblPr>
        <w:tblStyle w:val="TableGrid"/>
        <w:tblW w:type="dxa" w:w="9360"/>
        <w:jc w:val="left"/>
        <w:tblLayout w:type="fixed"/>
        <w:tblLook w:firstColumn="1" w:firstRow="1" w:lastColumn="0" w:lastRow="0" w:noHBand="0" w:noVBand="1" w:val="04A0"/>
        <w:tblInd w:w="120" w:type="dxa"/>
      </w:tblPr>
      <w:tblGrid>
        <w:gridCol w:w="4680"/>
        <w:gridCol w:w="2340"/>
        <w:gridCol w:w="2340"/>
      </w:tblGrid>
      <w:tr>
        <w:trPr>
          <w:tblHeader w:val="true"/>
          <w:cantSplit/>
        </w:trPr>
        <w:tc>
          <w:tcPr>
            <w:tcW w:type="dxa" w:w="468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Metric</w:t>
            </w:r>
          </w:p>
        </w:tc>
        <w:tc>
          <w:tcPr>
            <w:tcW w:type="dxa" w:w="234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Before detector</w:t>
            </w:r>
          </w:p>
        </w:tc>
        <w:tc>
          <w:tcPr>
            <w:tcW w:type="dxa" w:w="234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After detector</w:t>
            </w:r>
          </w:p>
        </w:tc>
      </w:tr>
      <w:tr>
        <w:trPr>
          <w:cantSplit/>
        </w:trPr>
        <w:tc>
          <w:tcPr>
            <w:tcW w:type="dxa" w:w="46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Images localized</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2,336 / 2,336</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2,214 / 2,336 (94.8%)</w:t>
            </w:r>
          </w:p>
        </w:tc>
      </w:tr>
      <w:tr>
        <w:trPr>
          <w:cantSplit/>
        </w:trPr>
        <w:tc>
          <w:tcPr>
            <w:tcW w:type="dxa" w:w="46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Mean localization IoU</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0.108</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0.827</w:t>
            </w:r>
          </w:p>
        </w:tc>
      </w:tr>
      <w:tr>
        <w:trPr>
          <w:cantSplit/>
        </w:trPr>
        <w:tc>
          <w:tcPr>
            <w:tcW w:type="dxa" w:w="46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IoU ≥ 0.50</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6 / 2,326 (0.26%)</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2,100 / 2,326 (90.3%)</w:t>
            </w:r>
          </w:p>
        </w:tc>
      </w:tr>
      <w:tr>
        <w:trPr>
          <w:cantSplit/>
        </w:trPr>
        <w:tc>
          <w:tcPr>
            <w:tcW w:type="dxa" w:w="46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IoU ≥ 0.75</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 / 2,326 (0.04%)</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1,690 / 2,326 (72.7%)</w:t>
            </w:r>
          </w:p>
        </w:tc>
      </w:tr>
      <w:tr>
        <w:trPr>
          <w:cantSplit/>
        </w:trPr>
        <w:tc>
          <w:tcPr>
            <w:tcW w:type="dxa" w:w="46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Mean localization time</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36.4 ms</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100.4 ms</w:t>
            </w:r>
          </w:p>
        </w:tc>
      </w:tr>
    </w:tbl>
    <w:p>
      <w:pPr>
        <w:spacing w:after="40"/>
      </w:pPr>
    </w:p>
    <w:p>
      <w:r>
        <w:t>The old method appeared to detect every frame because it often returned a broad document rectangle. The new detector deliberately abstains on 122 images rather than manufacturing a poor crop. Simulator timing is CPU-oriented and does not represent physical-device Neural Engine performance.</w:t>
      </w:r>
    </w:p>
    <w:p>
      <w:pPr>
        <w:pStyle w:val="Heading2"/>
      </w:pPr>
      <w:r>
        <w:t>Recognition recall and exact-printing audit</w:t>
      </w:r>
    </w:p>
    <w:tbl>
      <w:tblPr>
        <w:tblStyle w:val="TableGrid"/>
        <w:tblW w:type="dxa" w:w="9360"/>
        <w:jc w:val="left"/>
        <w:tblLayout w:type="fixed"/>
        <w:tblLook w:firstColumn="1" w:firstRow="1" w:lastColumn="0" w:lastRow="0" w:noHBand="0" w:noVBand="1" w:val="04A0"/>
        <w:tblInd w:w="120" w:type="dxa"/>
      </w:tblPr>
      <w:tblGrid>
        <w:gridCol w:w="4680"/>
        <w:gridCol w:w="2340"/>
        <w:gridCol w:w="2340"/>
      </w:tblGrid>
      <w:tr>
        <w:trPr>
          <w:tblHeader w:val="true"/>
          <w:cantSplit/>
        </w:trPr>
        <w:tc>
          <w:tcPr>
            <w:tcW w:type="dxa" w:w="468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Metric</w:t>
            </w:r>
          </w:p>
        </w:tc>
        <w:tc>
          <w:tcPr>
            <w:tcW w:type="dxa" w:w="234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Before tuning</w:t>
            </w:r>
          </w:p>
        </w:tc>
        <w:tc>
          <w:tcPr>
            <w:tcW w:type="dxa" w:w="234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After tuning</w:t>
            </w:r>
          </w:p>
        </w:tc>
      </w:tr>
      <w:tr>
        <w:trPr>
          <w:cantSplit/>
        </w:trPr>
        <w:tc>
          <w:tcPr>
            <w:tcW w:type="dxa" w:w="46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Accepted results in raw 50-image sample</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12</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15</w:t>
            </w:r>
          </w:p>
        </w:tc>
      </w:tr>
      <w:tr>
        <w:trPr>
          <w:cantSplit/>
        </w:trPr>
        <w:tc>
          <w:tcPr>
            <w:tcW w:type="dxa" w:w="46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Accepted name precision</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12 / 12 (100%)</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15 / 15 (100%)</w:t>
            </w:r>
          </w:p>
        </w:tc>
      </w:tr>
      <w:tr>
        <w:trPr>
          <w:cantSplit/>
        </w:trPr>
        <w:tc>
          <w:tcPr>
            <w:tcW w:type="dxa" w:w="46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Accepted exact-printing precision</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11 / 12 (91.7%)</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15 / 15 (100%)</w:t>
            </w:r>
          </w:p>
        </w:tc>
      </w:tr>
      <w:tr>
        <w:trPr>
          <w:cantSplit/>
        </w:trPr>
        <w:tc>
          <w:tcPr>
            <w:tcW w:type="dxa" w:w="46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Name recall on 24 printing-labeled fronts</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12 / 24 (50.0%)</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15 / 24 (62.5%)</w:t>
            </w:r>
          </w:p>
        </w:tc>
      </w:tr>
      <w:tr>
        <w:trPr>
          <w:cantSplit/>
        </w:trPr>
        <w:tc>
          <w:tcPr>
            <w:tcW w:type="dxa" w:w="46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Exact-printing recall on 24 labeled fronts</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11 / 24 (45.8%)</w:t>
            </w:r>
          </w:p>
        </w:tc>
        <w:tc>
          <w:tcPr>
            <w:tcW w:type="dxa" w:w="23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7"/>
              </w:rPr>
              <w:t>15 / 24 (62.5%)</w:t>
            </w:r>
          </w:p>
        </w:tc>
      </w:tr>
    </w:tbl>
    <w:p>
      <w:pPr>
        <w:spacing w:after="40"/>
      </w:pPr>
    </w:p>
    <w:p>
      <w:r>
        <w:t>Recovered exact printings include Charizard ex sv03-223, Venusaur ex sv03.5-198, Zapdos ex sv03.5-202, and Electric Generator sv01-170. A previously accepted Dark Weezing same-art printing error was removed; it now abstains rather than returning base5-31 for the expected base5-14.</w:t>
      </w:r>
    </w:p>
    <w:tbl>
      <w:tblPr>
        <w:tblStyle w:val="TableGrid"/>
        <w:tblW w:type="dxa" w:w="9360"/>
        <w:jc w:val="left"/>
        <w:tblLayout w:type="fixed"/>
        <w:tblLook w:firstColumn="1" w:firstRow="1" w:lastColumn="0" w:lastRow="0" w:noHBand="0" w:noVBand="1" w:val="04A0"/>
        <w:tblInd w:w="120" w:type="dxa"/>
      </w:tblPr>
      <w:tblGrid>
        <w:gridCol w:w="1440"/>
        <w:gridCol w:w="7920"/>
      </w:tblGrid>
      <w:tr>
        <w:trPr>
          <w:cantSplit/>
        </w:trPr>
        <w:tc>
          <w:tcPr>
            <w:tcW w:type="dxa" w:w="1440"/>
            <w:tcMar>
              <w:top w:w="80" w:type="dxa"/>
              <w:start w:w="120" w:type="dxa"/>
              <w:bottom w:w="80" w:type="dxa"/>
              <w:end w:w="120" w:type="dxa"/>
            </w:tcMar>
            <w:vAlign w:val="center"/>
            <w:shd w:fill="FFF3D6"/>
          </w:tcPr>
          <w:p>
            <w:pPr>
              <w:spacing w:before="0" w:after="0" w:line="259" w:lineRule="auto"/>
            </w:pPr>
            <w:r/>
            <w:r>
              <w:rPr>
                <w:rFonts w:ascii="Calibri" w:hAnsi="Calibri" w:eastAsia="Calibri"/>
                <w:b/>
                <w:color w:val="8A5A00"/>
                <w:sz w:val="16"/>
              </w:rPr>
              <w:t>SAMPLE CAVEAT</w:t>
            </w:r>
          </w:p>
        </w:tc>
        <w:tc>
          <w:tcPr>
            <w:tcW w:type="dxa" w:w="7920"/>
            <w:tcMar>
              <w:top w:w="80" w:type="dxa"/>
              <w:start w:w="120" w:type="dxa"/>
              <w:bottom w:w="80" w:type="dxa"/>
              <w:end w:w="120" w:type="dxa"/>
            </w:tcMar>
            <w:vAlign w:val="center"/>
            <w:shd w:fill="FFF3D6"/>
          </w:tcPr>
          <w:p>
            <w:pPr>
              <w:spacing w:before="0" w:after="0" w:line="259" w:lineRule="auto"/>
            </w:pPr>
            <w:r/>
            <w:r>
              <w:rPr>
                <w:rFonts w:ascii="Calibri" w:hAnsi="Calibri" w:eastAsia="Calibri"/>
                <w:b w:val="0"/>
                <w:color w:val="17324D"/>
                <w:sz w:val="19"/>
              </w:rPr>
              <w:t>The raw 50-image sample contains at least 4 card backs, 11 multi-card/binder scenes, 5 foreign-language single cards outside the English index, and 1 promo absent from the bundled index. Raw accepted-count percentage is therefore not a clean supported single-card recall metric.</w:t>
            </w:r>
          </w:p>
        </w:tc>
      </w:tr>
    </w:tbl>
    <w:p>
      <w:pPr>
        <w:spacing w:after="20"/>
      </w:pPr>
    </w:p>
    <w:p>
      <w:pPr>
        <w:pStyle w:val="Heading1"/>
      </w:pPr>
      <w:r>
        <w:t>6. Production resources in the app</w:t>
      </w:r>
    </w:p>
    <w:p>
      <w:r>
        <w:t>Repository paths below are relative to /Users/ahmadjalil/github/TCGer. Scanner resources currently total roughly 134 MB before local catalog packs.</w:t>
      </w:r>
    </w:p>
    <w:tbl>
      <w:tblPr>
        <w:tblStyle w:val="TableGrid"/>
        <w:tblW w:type="dxa" w:w="9360"/>
        <w:jc w:val="left"/>
        <w:tblLayout w:type="fixed"/>
        <w:tblLook w:firstColumn="1" w:firstRow="1" w:lastColumn="0" w:lastRow="0" w:noHBand="0" w:noVBand="1" w:val="04A0"/>
        <w:tblInd w:w="120" w:type="dxa"/>
      </w:tblPr>
      <w:tblGrid>
        <w:gridCol w:w="3900"/>
        <w:gridCol w:w="960"/>
        <w:gridCol w:w="2940"/>
        <w:gridCol w:w="1560"/>
      </w:tblGrid>
      <w:tr>
        <w:trPr>
          <w:tblHeader w:val="true"/>
          <w:cantSplit/>
        </w:trPr>
        <w:tc>
          <w:tcPr>
            <w:tcW w:type="dxa" w:w="390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Path</w:t>
            </w:r>
          </w:p>
        </w:tc>
        <w:tc>
          <w:tcPr>
            <w:tcW w:type="dxa" w:w="96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Size</w:t>
            </w:r>
          </w:p>
        </w:tc>
        <w:tc>
          <w:tcPr>
            <w:tcW w:type="dxa" w:w="294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Purpose</w:t>
            </w:r>
          </w:p>
        </w:tc>
        <w:tc>
          <w:tcPr>
            <w:tcW w:type="dxa" w:w="156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State</w:t>
            </w:r>
          </w:p>
        </w:tc>
      </w:tr>
      <w:tr>
        <w:trPr>
          <w:cantSplit/>
        </w:trPr>
        <w:tc>
          <w:tcPr>
            <w:tcW w:type="dxa" w:w="390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mobile-apps/ios/TCGer/TCGer/Resources/ScanIndex/CardDetector.mlmodel</w:t>
            </w:r>
          </w:p>
        </w:tc>
        <w:tc>
          <w:tcPr>
            <w:tcW w:type="dxa" w:w="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~30 MB</w:t>
            </w:r>
          </w:p>
        </w:tc>
        <w:tc>
          <w:tcPr>
            <w:tcW w:type="dxa" w:w="2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One-class card localization model</w:t>
            </w:r>
          </w:p>
        </w:tc>
        <w:tc>
          <w:tcPr>
            <w:tcW w:type="dxa" w:w="15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Bundled; tracked</w:t>
            </w:r>
          </w:p>
        </w:tc>
      </w:tr>
      <w:tr>
        <w:trPr>
          <w:cantSplit/>
        </w:trPr>
        <w:tc>
          <w:tcPr>
            <w:tcW w:type="dxa" w:w="390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mobile-apps/ios/TCGer/TCGer/Resources/ScanIndex/CardEmbeddings.mlpackage</w:t>
            </w:r>
          </w:p>
        </w:tc>
        <w:tc>
          <w:tcPr>
            <w:tcW w:type="dxa" w:w="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~41 MB</w:t>
            </w:r>
          </w:p>
        </w:tc>
        <w:tc>
          <w:tcPr>
            <w:tcW w:type="dxa" w:w="2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DINOv2-small encoder, 224 px → 384-d</w:t>
            </w:r>
          </w:p>
        </w:tc>
        <w:tc>
          <w:tcPr>
            <w:tcW w:type="dxa" w:w="15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Bundled; tracked</w:t>
            </w:r>
          </w:p>
        </w:tc>
      </w:tr>
      <w:tr>
        <w:trPr>
          <w:cantSplit/>
        </w:trPr>
        <w:tc>
          <w:tcPr>
            <w:tcW w:type="dxa" w:w="390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mobile-apps/ios/TCGer/TCGer/Resources/ScanIndex/CardsIndexVectors.bin</w:t>
            </w:r>
          </w:p>
        </w:tc>
        <w:tc>
          <w:tcPr>
            <w:tcW w:type="dxa" w:w="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~8 MB</w:t>
            </w:r>
          </w:p>
        </w:tc>
        <w:tc>
          <w:tcPr>
            <w:tcW w:type="dxa" w:w="2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Packed int8 ANN vectors</w:t>
            </w:r>
          </w:p>
        </w:tc>
        <w:tc>
          <w:tcPr>
            <w:tcW w:type="dxa" w:w="15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Bundled; tracked</w:t>
            </w:r>
          </w:p>
        </w:tc>
      </w:tr>
      <w:tr>
        <w:trPr>
          <w:cantSplit/>
        </w:trPr>
        <w:tc>
          <w:tcPr>
            <w:tcW w:type="dxa" w:w="390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mobile-apps/ios/TCGer/TCGer/Resources/ScanIndex/CardsIndexMetadata.json</w:t>
            </w:r>
          </w:p>
        </w:tc>
        <w:tc>
          <w:tcPr>
            <w:tcW w:type="dxa" w:w="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~4.1 MB</w:t>
            </w:r>
          </w:p>
        </w:tc>
        <w:tc>
          <w:tcPr>
            <w:tcW w:type="dxa" w:w="2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21,828 index rows and printing metadata</w:t>
            </w:r>
          </w:p>
        </w:tc>
        <w:tc>
          <w:tcPr>
            <w:tcW w:type="dxa" w:w="15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Bundled; tracked</w:t>
            </w:r>
          </w:p>
        </w:tc>
      </w:tr>
      <w:tr>
        <w:trPr>
          <w:cantSplit/>
        </w:trPr>
        <w:tc>
          <w:tcPr>
            <w:tcW w:type="dxa" w:w="390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mobile-apps/ios/TCGer/TCGer/Resources/ScanIndex/CardFaceGate.json</w:t>
            </w:r>
          </w:p>
        </w:tc>
        <w:tc>
          <w:tcPr>
            <w:tcW w:type="dxa" w:w="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~24 KB</w:t>
            </w:r>
          </w:p>
        </w:tc>
        <w:tc>
          <w:tcPr>
            <w:tcW w:type="dxa" w:w="2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DINOv2 open-set card-face rejection gate; recommended threshold 0.45</w:t>
            </w:r>
          </w:p>
        </w:tc>
        <w:tc>
          <w:tcPr>
            <w:tcW w:type="dxa" w:w="15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Bundled; tracked</w:t>
            </w:r>
          </w:p>
        </w:tc>
      </w:tr>
      <w:tr>
        <w:trPr>
          <w:cantSplit/>
        </w:trPr>
        <w:tc>
          <w:tcPr>
            <w:tcW w:type="dxa" w:w="390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mobile-apps/ios/TCGer/TCGer/CardScanner/Resources/artwork-fingerprints-pokemon-uint8.json</w:t>
            </w:r>
          </w:p>
        </w:tc>
        <w:tc>
          <w:tcPr>
            <w:tcW w:type="dxa" w:w="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~51 MB</w:t>
            </w:r>
          </w:p>
        </w:tc>
        <w:tc>
          <w:tcPr>
            <w:tcW w:type="dxa" w:w="2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Pokémon artwork fallback fingerprints</w:t>
            </w:r>
          </w:p>
        </w:tc>
        <w:tc>
          <w:tcPr>
            <w:tcW w:type="dxa" w:w="15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Bundled; tracked</w:t>
            </w:r>
          </w:p>
        </w:tc>
      </w:tr>
      <w:tr>
        <w:trPr>
          <w:cantSplit/>
        </w:trPr>
        <w:tc>
          <w:tcPr>
            <w:tcW w:type="dxa" w:w="390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mobile-apps/ios/TCGer/TCGer/CardScanner/Resources/MagicCardHashes.json</w:t>
            </w:r>
          </w:p>
        </w:tc>
        <w:tc>
          <w:tcPr>
            <w:tcW w:type="dxa" w:w="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~556 KB</w:t>
            </w:r>
          </w:p>
        </w:tc>
        <w:tc>
          <w:tcPr>
            <w:tcW w:type="dxa" w:w="2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Magic-specific hash resource</w:t>
            </w:r>
          </w:p>
        </w:tc>
        <w:tc>
          <w:tcPr>
            <w:tcW w:type="dxa" w:w="15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Bundled; tracked</w:t>
            </w:r>
          </w:p>
        </w:tc>
      </w:tr>
      <w:tr>
        <w:trPr>
          <w:cantSplit/>
        </w:trPr>
        <w:tc>
          <w:tcPr>
            <w:tcW w:type="dxa" w:w="390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mobile-apps/ios/TCGer/TCGer/Resources/Catalogs/pokemon.v7.afce70807c3a401c.pack.json</w:t>
            </w:r>
          </w:p>
        </w:tc>
        <w:tc>
          <w:tcPr>
            <w:tcW w:type="dxa" w:w="9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~2.2 MB</w:t>
            </w:r>
          </w:p>
        </w:tc>
        <w:tc>
          <w:tcPr>
            <w:tcW w:type="dxa" w:w="2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Local Pokémon catalog pack</w:t>
            </w:r>
          </w:p>
        </w:tc>
        <w:tc>
          <w:tcPr>
            <w:tcW w:type="dxa" w:w="156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Present locally; cloud packaging caveat</w:t>
            </w:r>
          </w:p>
        </w:tc>
      </w:tr>
    </w:tbl>
    <w:p>
      <w:pPr>
        <w:spacing w:after="40"/>
      </w:pPr>
    </w:p>
    <w:p>
      <w:pPr>
        <w:pStyle w:val="Heading2"/>
      </w:pPr>
      <w:r>
        <w:t>Packaging policy</w:t>
      </w:r>
    </w:p>
    <w:p>
      <w:pPr>
        <w:pStyle w:val="ListBullet"/>
        <w:spacing w:after="80" w:line="300" w:lineRule="auto"/>
        <w:ind w:left="540" w:hanging="271"/>
      </w:pPr>
      <w:r>
        <w:rPr>
          <w:rFonts w:ascii="Calibri" w:hAnsi="Calibri" w:eastAsia="Calibri"/>
          <w:color w:val="111111"/>
          <w:sz w:val="21"/>
        </w:rPr>
        <w:t>Scanner model/index assets are tracked in Git so fresh Xcode Cloud clones contain them.</w:t>
      </w:r>
    </w:p>
    <w:p>
      <w:pPr>
        <w:pStyle w:val="ListBullet"/>
        <w:spacing w:after="80" w:line="300" w:lineRule="auto"/>
        <w:ind w:left="540" w:hanging="271"/>
      </w:pPr>
      <w:r>
        <w:rPr>
          <w:rFonts w:ascii="Calibri" w:hAnsi="Calibri" w:eastAsia="Calibri"/>
          <w:color w:val="111111"/>
          <w:sz w:val="21"/>
        </w:rPr>
        <w:t>Do not move these artifacts to Git LFS; Xcode Cloud does not resolve LFS pointers in this setup.</w:t>
      </w:r>
    </w:p>
    <w:p>
      <w:pPr>
        <w:pStyle w:val="ListBullet"/>
        <w:spacing w:after="80" w:line="300" w:lineRule="auto"/>
        <w:ind w:left="540" w:hanging="271"/>
      </w:pPr>
      <w:r>
        <w:rPr>
          <w:rFonts w:ascii="Calibri" w:hAnsi="Calibri" w:eastAsia="Calibri"/>
          <w:color w:val="111111"/>
          <w:sz w:val="21"/>
        </w:rPr>
        <w:t>bash scripts/ios-assets.sh check validates required generated scanner assets and currently passes.</w:t>
      </w:r>
    </w:p>
    <w:p>
      <w:pPr>
        <w:pStyle w:val="ListBullet"/>
        <w:spacing w:after="80" w:line="300" w:lineRule="auto"/>
        <w:ind w:left="540" w:hanging="271"/>
      </w:pPr>
      <w:r>
        <w:rPr>
          <w:rFonts w:ascii="Calibri" w:hAnsi="Calibri" w:eastAsia="Calibri"/>
          <w:color w:val="111111"/>
          <w:sz w:val="21"/>
        </w:rPr>
        <w:t>Offline catalogs remain a separate caveat: local copies exist, but cloud builds can rely on remote/on-device fallbacks unless catalog packaging is made authoritative.</w:t>
      </w:r>
    </w:p>
    <w:p>
      <w:pPr>
        <w:pStyle w:val="ListBullet"/>
        <w:spacing w:after="80" w:line="300" w:lineRule="auto"/>
        <w:ind w:left="540" w:hanging="271"/>
      </w:pPr>
      <w:r>
        <w:rPr>
          <w:rFonts w:ascii="Calibri" w:hAnsi="Calibri" w:eastAsia="Calibri"/>
          <w:color w:val="111111"/>
          <w:sz w:val="21"/>
        </w:rPr>
        <w:t>Planned optimization: move the per-game artwork fingerprint database to versioned R2 delivery first, retaining safe bundled fallbacks.</w:t>
      </w:r>
    </w:p>
    <w:p>
      <w:pPr>
        <w:pStyle w:val="Heading1"/>
      </w:pPr>
      <w:r>
        <w:t>7. Downloaded datasets, reports, and references</w:t>
      </w:r>
    </w:p>
    <w:p>
      <w:r>
        <w:t>Dataset root: /Users/ahmadjalil/Downloads/TCGer-Scanner-Datasets</w:t>
      </w:r>
    </w:p>
    <w:tbl>
      <w:tblPr>
        <w:tblStyle w:val="TableGrid"/>
        <w:tblW w:type="dxa" w:w="9360"/>
        <w:jc w:val="left"/>
        <w:tblLayout w:type="fixed"/>
        <w:tblLook w:firstColumn="1" w:firstRow="1" w:lastColumn="0" w:lastRow="0" w:noHBand="0" w:noVBand="1" w:val="04A0"/>
        <w:tblInd w:w="120" w:type="dxa"/>
      </w:tblPr>
      <w:tblGrid>
        <w:gridCol w:w="1800"/>
        <w:gridCol w:w="3480"/>
        <w:gridCol w:w="4080"/>
      </w:tblGrid>
      <w:tr>
        <w:trPr>
          <w:tblHeader w:val="true"/>
          <w:cantSplit/>
        </w:trPr>
        <w:tc>
          <w:tcPr>
            <w:tcW w:type="dxa" w:w="180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Resource</w:t>
            </w:r>
          </w:p>
        </w:tc>
        <w:tc>
          <w:tcPr>
            <w:tcW w:type="dxa" w:w="348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Location</w:t>
            </w:r>
          </w:p>
        </w:tc>
        <w:tc>
          <w:tcPr>
            <w:tcW w:type="dxa" w:w="408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Purpose</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Five original Roboflow exports</w:t>
            </w:r>
          </w:p>
        </w:tc>
        <w:tc>
          <w:tcPr>
            <w:tcW w:type="dxa" w:w="34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raw/</w:t>
            </w:r>
          </w:p>
        </w:tc>
        <w:tc>
          <w:tcPr>
            <w:tcW w:type="dxa" w:w="40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COCO and COCO-segmentation archives from TCGX, Pokefolio, LabelYOLO, PK Detect, and Pokémon Card Detector</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Expanded iOS replay corpus</w:t>
            </w:r>
          </w:p>
        </w:tc>
        <w:tc>
          <w:tcPr>
            <w:tcW w:type="dxa" w:w="34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ios-replay/datasets/</w:t>
            </w:r>
          </w:p>
        </w:tc>
        <w:tc>
          <w:tcPr>
            <w:tcW w:type="dxa" w:w="40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2,336-image deterministic localization and recognition replay</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Replay manifest</w:t>
            </w:r>
          </w:p>
        </w:tc>
        <w:tc>
          <w:tcPr>
            <w:tcW w:type="dxa" w:w="34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ios-replay/roboflow-ios-replay.json</w:t>
            </w:r>
          </w:p>
        </w:tc>
        <w:tc>
          <w:tcPr>
            <w:tcW w:type="dxa" w:w="40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Stable archive/sample mapping for iOS diagnostic tests</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Create ML detector set</w:t>
            </w:r>
          </w:p>
        </w:tc>
        <w:tc>
          <w:tcPr>
            <w:tcW w:type="dxa" w:w="34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createml-card-detector/</w:t>
            </w:r>
          </w:p>
        </w:tc>
        <w:tc>
          <w:tcPr>
            <w:tcW w:type="dxa" w:w="40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Train/validation/test images and annotations</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Detector copy</w:t>
            </w:r>
          </w:p>
        </w:tc>
        <w:tc>
          <w:tcPr>
            <w:tcW w:type="dxa" w:w="34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CardDetector.mlmodel</w:t>
            </w:r>
          </w:p>
        </w:tc>
        <w:tc>
          <w:tcPr>
            <w:tcW w:type="dxa" w:w="40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Original trained Create ML output outside the app bundle</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Localization report</w:t>
            </w:r>
          </w:p>
        </w:tc>
        <w:tc>
          <w:tcPr>
            <w:tcW w:type="dxa" w:w="34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ios-replay/REPORT-AFTER-FIXES.md</w:t>
            </w:r>
          </w:p>
        </w:tc>
        <w:tc>
          <w:tcPr>
            <w:tcW w:type="dxa" w:w="40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Before/after model and replay metrics</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Recognition audit</w:t>
            </w:r>
          </w:p>
        </w:tc>
        <w:tc>
          <w:tcPr>
            <w:tcW w:type="dxa" w:w="34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ios-replay/RECOGNITION-RECALL-AUDIT.md</w:t>
            </w:r>
          </w:p>
        </w:tc>
        <w:tc>
          <w:tcPr>
            <w:tcW w:type="dxa" w:w="40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Gate analysis, exact-printing results, and policy</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Final recognition JSON</w:t>
            </w:r>
          </w:p>
        </w:tc>
        <w:tc>
          <w:tcPr>
            <w:tcW w:type="dxa" w:w="34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ios-replay/tcger-recognition-gate-final.json</w:t>
            </w:r>
          </w:p>
        </w:tc>
        <w:tc>
          <w:tcPr>
            <w:tcW w:type="dxa" w:w="40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Per-frame gate/OCR/top-candidate evidence</w:t>
            </w:r>
          </w:p>
        </w:tc>
      </w:tr>
      <w:tr>
        <w:trPr>
          <w:cantSplit/>
        </w:trPr>
        <w:tc>
          <w:tcPr>
            <w:tcW w:type="dxa" w:w="180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Localization JSON</w:t>
            </w:r>
          </w:p>
        </w:tc>
        <w:tc>
          <w:tcPr>
            <w:tcW w:type="dxa" w:w="34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ios-replay/tcger-roboflow-ios-report-after-detector.json</w:t>
            </w:r>
          </w:p>
        </w:tc>
        <w:tc>
          <w:tcPr>
            <w:tcW w:type="dxa" w:w="408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5"/>
              </w:rPr>
              <w:t>Per-image production crop/detection metrics</w:t>
            </w:r>
          </w:p>
        </w:tc>
      </w:tr>
    </w:tbl>
    <w:p>
      <w:pPr>
        <w:spacing w:after="40"/>
      </w:pPr>
    </w:p>
    <w:p>
      <w:r>
        <w:t>Reference implementation root: /Users/ahmadjalil/Downloads/TCGer-Scanner-References/Pokemon-Card-Scanner</w:t>
      </w:r>
    </w:p>
    <w:tbl>
      <w:tblPr>
        <w:tblStyle w:val="TableGrid"/>
        <w:tblW w:type="dxa" w:w="9360"/>
        <w:jc w:val="left"/>
        <w:tblLayout w:type="fixed"/>
        <w:tblLook w:firstColumn="1" w:firstRow="1" w:lastColumn="0" w:lastRow="0" w:noHBand="0" w:noVBand="1" w:val="04A0"/>
        <w:tblInd w:w="120" w:type="dxa"/>
      </w:tblPr>
      <w:tblGrid>
        <w:gridCol w:w="1440"/>
        <w:gridCol w:w="7920"/>
      </w:tblGrid>
      <w:tr>
        <w:trPr>
          <w:cantSplit/>
        </w:trPr>
        <w:tc>
          <w:tcPr>
            <w:tcW w:type="dxa" w:w="1440"/>
            <w:tcMar>
              <w:top w:w="80" w:type="dxa"/>
              <w:start w:w="120" w:type="dxa"/>
              <w:bottom w:w="80" w:type="dxa"/>
              <w:end w:w="120" w:type="dxa"/>
            </w:tcMar>
            <w:vAlign w:val="center"/>
            <w:shd w:fill="E8EEF5"/>
          </w:tcPr>
          <w:p>
            <w:pPr>
              <w:spacing w:before="0" w:after="0" w:line="259" w:lineRule="auto"/>
            </w:pPr>
            <w:r/>
            <w:r>
              <w:rPr>
                <w:rFonts w:ascii="Calibri" w:hAnsi="Calibri" w:eastAsia="Calibri"/>
                <w:b/>
                <w:color w:val="2E74B5"/>
                <w:sz w:val="16"/>
              </w:rPr>
              <w:t>REFERENCE FINDING</w:t>
            </w:r>
          </w:p>
        </w:tc>
        <w:tc>
          <w:tcPr>
            <w:tcW w:type="dxa" w:w="7920"/>
            <w:tcMar>
              <w:top w:w="80" w:type="dxa"/>
              <w:start w:w="120" w:type="dxa"/>
              <w:bottom w:w="80" w:type="dxa"/>
              <w:end w:w="120" w:type="dxa"/>
            </w:tcMar>
            <w:vAlign w:val="center"/>
            <w:shd w:fill="E8EEF5"/>
          </w:tcPr>
          <w:p>
            <w:pPr>
              <w:spacing w:before="0" w:after="0" w:line="259" w:lineRule="auto"/>
            </w:pPr>
            <w:r/>
            <w:r>
              <w:rPr>
                <w:rFonts w:ascii="Calibri" w:hAnsi="Calibri" w:eastAsia="Calibri"/>
                <w:b w:val="0"/>
                <w:color w:val="17324D"/>
                <w:sz w:val="19"/>
              </w:rPr>
              <w:t>The NolanAmblard repository is a Python/OpenCV reference using largest rectangular contour detection plus perspective transform. It is useful for geometry comparison, but it does not contain an iOS Swift implementation or the production recognition stack used by TCGer.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440"/>
        <w:gridCol w:w="7920"/>
      </w:tblGrid>
      <w:tr>
        <w:trPr>
          <w:cantSplit/>
        </w:trPr>
        <w:tc>
          <w:tcPr>
            <w:tcW w:type="dxa" w:w="1440"/>
            <w:tcMar>
              <w:top w:w="80" w:type="dxa"/>
              <w:start w:w="120" w:type="dxa"/>
              <w:bottom w:w="80" w:type="dxa"/>
              <w:end w:w="120" w:type="dxa"/>
            </w:tcMar>
            <w:vAlign w:val="center"/>
            <w:shd w:fill="FCE8E6"/>
          </w:tcPr>
          <w:p>
            <w:pPr>
              <w:spacing w:before="0" w:after="0" w:line="259" w:lineRule="auto"/>
            </w:pPr>
            <w:r/>
            <w:r>
              <w:rPr>
                <w:rFonts w:ascii="Calibri" w:hAnsi="Calibri" w:eastAsia="Calibri"/>
                <w:b/>
                <w:color w:val="A33A31"/>
                <w:sz w:val="16"/>
              </w:rPr>
              <w:t>LICENSING</w:t>
            </w:r>
          </w:p>
        </w:tc>
        <w:tc>
          <w:tcPr>
            <w:tcW w:type="dxa" w:w="7920"/>
            <w:tcMar>
              <w:top w:w="80" w:type="dxa"/>
              <w:start w:w="120" w:type="dxa"/>
              <w:bottom w:w="80" w:type="dxa"/>
              <w:end w:w="120" w:type="dxa"/>
            </w:tcMar>
            <w:vAlign w:val="center"/>
            <w:shd w:fill="FCE8E6"/>
          </w:tcPr>
          <w:p>
            <w:pPr>
              <w:spacing w:before="0" w:after="0" w:line="259" w:lineRule="auto"/>
            </w:pPr>
            <w:r/>
            <w:r>
              <w:rPr>
                <w:rFonts w:ascii="Calibri" w:hAnsi="Calibri" w:eastAsia="Calibri"/>
                <w:b w:val="0"/>
                <w:color w:val="17324D"/>
                <w:sz w:val="19"/>
              </w:rPr>
              <w:t>Verify every Roboflow project’s dataset license and redistribution terms before publishing, sharing, or using the combined corpus for commercial training. The local archives are evaluation/training resources, not proof of redistribution rights.</w:t>
            </w:r>
          </w:p>
        </w:tc>
      </w:tr>
    </w:tbl>
    <w:p>
      <w:pPr>
        <w:spacing w:after="20"/>
      </w:pPr>
    </w:p>
    <w:p>
      <w:pPr>
        <w:pStyle w:val="Heading1"/>
      </w:pPr>
      <w:r>
        <w:t>8. Key code and automation</w:t>
      </w:r>
    </w:p>
    <w:tbl>
      <w:tblPr>
        <w:tblStyle w:val="TableGrid"/>
        <w:tblW w:type="dxa" w:w="9360"/>
        <w:jc w:val="left"/>
        <w:tblLayout w:type="fixed"/>
        <w:tblLook w:firstColumn="1" w:firstRow="1" w:lastColumn="0" w:lastRow="0" w:noHBand="0" w:noVBand="1" w:val="04A0"/>
        <w:tblInd w:w="120" w:type="dxa"/>
      </w:tblPr>
      <w:tblGrid>
        <w:gridCol w:w="5040"/>
        <w:gridCol w:w="4320"/>
      </w:tblGrid>
      <w:tr>
        <w:trPr>
          <w:tblHeader w:val="true"/>
          <w:cantSplit/>
        </w:trPr>
        <w:tc>
          <w:tcPr>
            <w:tcW w:type="dxa" w:w="504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File</w:t>
            </w:r>
          </w:p>
        </w:tc>
        <w:tc>
          <w:tcPr>
            <w:tcW w:type="dxa" w:w="432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Role</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mobile-apps/ios/TCGer/TCGer/Views/CardScannerView.swift</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Scanner layout, overlays, controls, result presentation</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mobile-apps/ios/TCGer/TCGer/Views/ScannerSessionControls.swift</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Manual/automatic session controls</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mobile-apps/ios/TCGer/TCGer/Views/ScannerDebugView.swift</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Debug screen and asset-detail sheet</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mobile-apps/ios/TCGer/TCGer/CardScanner/CardObjectDetector.swift</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Vision/Core ML detector adapter</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mobile-apps/ios/TCGer/TCGer/CardScanner/CardCropper.swift</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Detection, rectangle refinement, perspective crop, rotation</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mobile-apps/ios/TCGer/TCGer/CardScanner/CardTitleOCR.swift</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Exact normalized title OCR evidence</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mobile-apps/ios/TCGer/TCGer/CardScanner/BoardCardEmbeddingScannerStrategy.swift</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Gate, ANN retrieval, OCR rescue, printing ambiguity policy</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mobile-apps/ios/TCGer/TCGer/CardScanner/ANN/CardIndexMetadataStore.swift</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Printing metadata and exact normalized name lookup</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scripts/prepare_roboflow_ios_replay.py</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Normalize downloaded archives into deterministic replay data</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scripts/prepare_createml_card_detector.py</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Convert replay annotations to Create ML object-detection format</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mobile-apps/ios/scripts/train-card-detector.swift</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Train and save CardDetector.mlmodel</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scripts/export_scanner_recording_labels.py</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Export recorded scanner frames/labels for review or labeling tools</w:t>
            </w:r>
          </w:p>
        </w:tc>
      </w:tr>
      <w:tr>
        <w:trPr>
          <w:cantSplit/>
        </w:trPr>
        <w:tc>
          <w:tcPr>
            <w:tcW w:type="dxa" w:w="504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4"/>
              </w:rPr>
              <w:t>scripts/ios-assets.sh</w:t>
            </w:r>
          </w:p>
        </w:tc>
        <w:tc>
          <w:tcPr>
            <w:tcW w:type="dxa" w:w="43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4"/>
              </w:rPr>
              <w:t>Build/check scanner model, index, gate, and catalog artifacts</w:t>
            </w:r>
          </w:p>
        </w:tc>
      </w:tr>
    </w:tbl>
    <w:p>
      <w:pPr>
        <w:spacing w:after="40"/>
      </w:pPr>
    </w:p>
    <w:p>
      <w:pPr>
        <w:pStyle w:val="Heading1"/>
      </w:pPr>
      <w:r>
        <w:t>9. Verification performed</w:t>
      </w:r>
    </w:p>
    <w:p>
      <w:pPr>
        <w:pStyle w:val="ListBullet"/>
        <w:spacing w:after="80" w:line="300" w:lineRule="auto"/>
        <w:ind w:left="540" w:hanging="271"/>
      </w:pPr>
      <w:r>
        <w:rPr>
          <w:rFonts w:ascii="Calibri" w:hAnsi="Calibri" w:eastAsia="Calibri"/>
          <w:color w:val="111111"/>
          <w:sz w:val="21"/>
        </w:rPr>
        <w:t>All scanner asset checks passed with bash scripts/ios-assets.sh check.</w:t>
      </w:r>
    </w:p>
    <w:p>
      <w:pPr>
        <w:pStyle w:val="ListBullet"/>
        <w:spacing w:after="80" w:line="300" w:lineRule="auto"/>
        <w:ind w:left="540" w:hanging="271"/>
      </w:pPr>
      <w:r>
        <w:rPr>
          <w:rFonts w:ascii="Calibri" w:hAnsi="Calibri" w:eastAsia="Calibri"/>
          <w:color w:val="111111"/>
          <w:sz w:val="21"/>
        </w:rPr>
        <w:t>21 focused scanner tests passed, covering core algorithms and coordinator behavior.</w:t>
      </w:r>
    </w:p>
    <w:p>
      <w:pPr>
        <w:pStyle w:val="ListBullet"/>
        <w:spacing w:after="80" w:line="300" w:lineRule="auto"/>
        <w:ind w:left="540" w:hanging="271"/>
      </w:pPr>
      <w:r>
        <w:rPr>
          <w:rFonts w:ascii="Calibri" w:hAnsi="Calibri" w:eastAsia="Calibri"/>
          <w:color w:val="111111"/>
          <w:sz w:val="21"/>
        </w:rPr>
        <w:t>The final 50-image recognition replay passed in 241.261 seconds with zero accepted known wrong printings.</w:t>
      </w:r>
    </w:p>
    <w:p>
      <w:pPr>
        <w:pStyle w:val="ListBullet"/>
        <w:spacing w:after="80" w:line="300" w:lineRule="auto"/>
        <w:ind w:left="540" w:hanging="271"/>
      </w:pPr>
      <w:r>
        <w:rPr>
          <w:rFonts w:ascii="Calibri" w:hAnsi="Calibri" w:eastAsia="Calibri"/>
          <w:color w:val="111111"/>
          <w:sz w:val="21"/>
        </w:rPr>
        <w:t>The earlier full 2,336-image diagnostic replay passed in 465.965 seconds.</w:t>
      </w:r>
    </w:p>
    <w:p>
      <w:pPr>
        <w:pStyle w:val="ListBullet"/>
        <w:spacing w:after="80" w:line="300" w:lineRule="auto"/>
        <w:ind w:left="540" w:hanging="271"/>
      </w:pPr>
      <w:r>
        <w:rPr>
          <w:rFonts w:ascii="Calibri" w:hAnsi="Calibri" w:eastAsia="Calibri"/>
          <w:color w:val="111111"/>
          <w:sz w:val="21"/>
        </w:rPr>
        <w:t>The iPhone 17 Pro Simulator on iOS 26.5 was used for deterministic playback and UI/runtime checks.</w:t>
      </w:r>
    </w:p>
    <w:p>
      <w:pPr>
        <w:pStyle w:val="ListBullet"/>
        <w:spacing w:after="80" w:line="300" w:lineRule="auto"/>
        <w:ind w:left="540" w:hanging="271"/>
      </w:pPr>
      <w:r>
        <w:rPr>
          <w:rFonts w:ascii="Calibri" w:hAnsi="Calibri" w:eastAsia="Calibri"/>
          <w:color w:val="111111"/>
          <w:sz w:val="21"/>
        </w:rPr>
        <w:t>Temporary recognition-review contact sheets and simulator replay artifacts were moved to /Users/ahmadjalil/.Trash/TCGer-recognition-audit-temp-20260809 and remain recoverable.</w:t>
      </w:r>
    </w:p>
    <w:p>
      <w:pPr>
        <w:pStyle w:val="Heading2"/>
      </w:pPr>
      <w:r>
        <w:t>Useful reproduction commands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8"/>
          </w:tcPr>
          <w:p>
            <w:pPr>
              <w:spacing w:before="0" w:after="20" w:line="240" w:lineRule="auto"/>
            </w:pPr>
            <w:r/>
            <w:r>
              <w:rPr>
                <w:rFonts w:ascii="Aptos Mono" w:hAnsi="Aptos Mono" w:eastAsia="Aptos Mono"/>
                <w:color w:val="17324D"/>
                <w:sz w:val="15"/>
              </w:rPr>
              <w:t># Validate bundled scanner/index/catalog resources</w:t>
            </w:r>
          </w:p>
          <w:p>
            <w:pPr>
              <w:spacing w:before="0" w:after="20" w:line="240" w:lineRule="auto"/>
            </w:pPr>
            <w:r>
              <w:rPr>
                <w:rFonts w:ascii="Aptos Mono" w:hAnsi="Aptos Mono" w:eastAsia="Aptos Mono"/>
                <w:color w:val="17324D"/>
                <w:sz w:val="15"/>
              </w:rPr>
              <w:t>bash scripts/ios-assets.sh check</w:t>
            </w:r>
          </w:p>
          <w:p>
            <w:pPr>
              <w:spacing w:before="0" w:after="20" w:line="240" w:lineRule="auto"/>
            </w:pPr>
            <w:r>
              <w:rPr>
                <w:rFonts w:ascii="Aptos Mono" w:hAnsi="Aptos Mono" w:eastAsia="Aptos Mono"/>
                <w:color w:val="17324D"/>
                <w:sz w:val="15"/>
              </w:rPr>
            </w:r>
          </w:p>
          <w:p>
            <w:pPr>
              <w:spacing w:before="0" w:after="20" w:line="240" w:lineRule="auto"/>
            </w:pPr>
            <w:r>
              <w:rPr>
                <w:rFonts w:ascii="Aptos Mono" w:hAnsi="Aptos Mono" w:eastAsia="Aptos Mono"/>
                <w:color w:val="17324D"/>
                <w:sz w:val="15"/>
              </w:rPr>
              <w:t># Rebuild the detector dataset from the expanded replay corpus</w:t>
            </w:r>
          </w:p>
          <w:p>
            <w:pPr>
              <w:spacing w:before="0" w:after="20" w:line="240" w:lineRule="auto"/>
            </w:pPr>
            <w:r>
              <w:rPr>
                <w:rFonts w:ascii="Aptos Mono" w:hAnsi="Aptos Mono" w:eastAsia="Aptos Mono"/>
                <w:color w:val="17324D"/>
                <w:sz w:val="15"/>
              </w:rPr>
              <w:t>python3 scripts/prepare_createml_card_detector.py \</w:t>
            </w:r>
          </w:p>
          <w:p>
            <w:pPr>
              <w:spacing w:before="0" w:after="20" w:line="240" w:lineRule="auto"/>
            </w:pPr>
            <w:r>
              <w:rPr>
                <w:rFonts w:ascii="Aptos Mono" w:hAnsi="Aptos Mono" w:eastAsia="Aptos Mono"/>
                <w:color w:val="17324D"/>
                <w:sz w:val="15"/>
              </w:rPr>
              <w:t xml:space="preserve">  /Users/ahmadjalil/Downloads/TCGer-Scanner-Datasets/ios-replay/datasets \</w:t>
            </w:r>
          </w:p>
          <w:p>
            <w:pPr>
              <w:spacing w:before="0" w:after="20" w:line="240" w:lineRule="auto"/>
            </w:pPr>
            <w:r>
              <w:rPr>
                <w:rFonts w:ascii="Aptos Mono" w:hAnsi="Aptos Mono" w:eastAsia="Aptos Mono"/>
                <w:color w:val="17324D"/>
                <w:sz w:val="15"/>
              </w:rPr>
              <w:t xml:space="preserve">  /Users/ahmadjalil/Downloads/TCGer-Scanner-Datasets/createml-card-detector</w:t>
            </w:r>
          </w:p>
          <w:p>
            <w:pPr>
              <w:spacing w:before="0" w:after="20" w:line="240" w:lineRule="auto"/>
            </w:pPr>
            <w:r>
              <w:rPr>
                <w:rFonts w:ascii="Aptos Mono" w:hAnsi="Aptos Mono" w:eastAsia="Aptos Mono"/>
                <w:color w:val="17324D"/>
                <w:sz w:val="15"/>
              </w:rPr>
            </w:r>
          </w:p>
          <w:p>
            <w:pPr>
              <w:spacing w:before="0" w:after="20" w:line="240" w:lineRule="auto"/>
            </w:pPr>
            <w:r>
              <w:rPr>
                <w:rFonts w:ascii="Aptos Mono" w:hAnsi="Aptos Mono" w:eastAsia="Aptos Mono"/>
                <w:color w:val="17324D"/>
                <w:sz w:val="15"/>
              </w:rPr>
              <w:t># Retrain the Create ML detector (300 iterations)</w:t>
            </w:r>
          </w:p>
          <w:p>
            <w:pPr>
              <w:spacing w:before="0" w:after="20" w:line="240" w:lineRule="auto"/>
            </w:pPr>
            <w:r>
              <w:rPr>
                <w:rFonts w:ascii="Aptos Mono" w:hAnsi="Aptos Mono" w:eastAsia="Aptos Mono"/>
                <w:color w:val="17324D"/>
                <w:sz w:val="15"/>
              </w:rPr>
              <w:t>DEVELOPER_DIR=/Applications/Xcode.app/Contents/Developer xcrun swift \</w:t>
            </w:r>
          </w:p>
          <w:p>
            <w:pPr>
              <w:spacing w:before="0" w:after="20" w:line="240" w:lineRule="auto"/>
            </w:pPr>
            <w:r>
              <w:rPr>
                <w:rFonts w:ascii="Aptos Mono" w:hAnsi="Aptos Mono" w:eastAsia="Aptos Mono"/>
                <w:color w:val="17324D"/>
                <w:sz w:val="15"/>
              </w:rPr>
              <w:t xml:space="preserve">  mobile-apps/ios/scripts/train-card-detector.swift \</w:t>
            </w:r>
          </w:p>
          <w:p>
            <w:pPr>
              <w:spacing w:before="0" w:after="20" w:line="240" w:lineRule="auto"/>
            </w:pPr>
            <w:r>
              <w:rPr>
                <w:rFonts w:ascii="Aptos Mono" w:hAnsi="Aptos Mono" w:eastAsia="Aptos Mono"/>
                <w:color w:val="17324D"/>
                <w:sz w:val="15"/>
              </w:rPr>
              <w:t xml:space="preserve">  /Users/ahmadjalil/Downloads/TCGer-Scanner-Datasets/createml-card-detector \</w:t>
            </w:r>
          </w:p>
          <w:p>
            <w:pPr>
              <w:spacing w:before="0" w:after="20" w:line="240" w:lineRule="auto"/>
            </w:pPr>
            <w:r>
              <w:rPr>
                <w:rFonts w:ascii="Aptos Mono" w:hAnsi="Aptos Mono" w:eastAsia="Aptos Mono"/>
                <w:color w:val="17324D"/>
                <w:sz w:val="15"/>
              </w:rPr>
              <w:t xml:space="preserve">  mobile-apps/ios/TCGer/TCGer/Resources/ScanIndex/CardDetector.mlmodel 300</w:t>
            </w:r>
          </w:p>
        </w:tc>
      </w:tr>
    </w:tbl>
    <w:p>
      <w:pPr>
        <w:spacing w:after="40"/>
      </w:pPr>
    </w:p>
    <w:p>
      <w:pPr>
        <w:pStyle w:val="Heading1"/>
      </w:pPr>
      <w:r>
        <w:t>10. Remaining work and recommended order</w:t>
      </w:r>
    </w:p>
    <w:p>
      <w:pPr>
        <w:spacing w:after="60" w:line="276" w:lineRule="auto"/>
        <w:ind w:left="540" w:hanging="271"/>
      </w:pPr>
      <w:r>
        <w:rPr>
          <w:rFonts w:ascii="Calibri" w:hAnsi="Calibri" w:eastAsia="Calibri"/>
          <w:color w:val="111111"/>
          <w:sz w:val="20"/>
        </w:rPr>
        <w:t xml:space="preserve">1.  </w:t>
      </w:r>
      <w:r>
        <w:rPr>
          <w:rFonts w:ascii="Calibri" w:hAnsi="Calibri" w:eastAsia="Calibri"/>
          <w:b/>
          <w:color w:val="17324D"/>
          <w:sz w:val="20"/>
        </w:rPr>
        <w:t xml:space="preserve">Physical-device acceptance run. </w:t>
      </w:r>
      <w:r>
        <w:rPr>
          <w:rFonts w:ascii="Calibri" w:hAnsi="Calibri" w:eastAsia="Calibri"/>
          <w:color w:val="111111"/>
          <w:sz w:val="20"/>
        </w:rPr>
        <w:t>Test focus, glare, motion, thermal behavior, camera permissions, and end-to-end shutter latency on at least one recent iPhone. Simulator camera behavior is not representative.</w:t>
      </w:r>
    </w:p>
    <w:p>
      <w:pPr>
        <w:spacing w:after="60" w:line="276" w:lineRule="auto"/>
        <w:ind w:left="540" w:hanging="271"/>
      </w:pPr>
      <w:r>
        <w:rPr>
          <w:rFonts w:ascii="Calibri" w:hAnsi="Calibri" w:eastAsia="Calibri"/>
          <w:color w:val="111111"/>
          <w:sz w:val="20"/>
        </w:rPr>
        <w:t xml:space="preserve">2.  </w:t>
      </w:r>
      <w:r>
        <w:rPr>
          <w:rFonts w:ascii="Calibri" w:hAnsi="Calibri" w:eastAsia="Calibri"/>
          <w:b/>
          <w:color w:val="17324D"/>
          <w:sz w:val="20"/>
        </w:rPr>
        <w:t xml:space="preserve">Build a clean independent holdout. </w:t>
      </w:r>
      <w:r>
        <w:rPr>
          <w:rFonts w:ascii="Calibri" w:hAnsi="Calibri" w:eastAsia="Calibri"/>
          <w:color w:val="111111"/>
          <w:sz w:val="20"/>
        </w:rPr>
        <w:t>Capture supported English single-card fronts that are not drawn from the training archives. Include sleeves, foils, skew, dim light, and several distances.</w:t>
      </w:r>
    </w:p>
    <w:p>
      <w:pPr>
        <w:spacing w:after="60" w:line="276" w:lineRule="auto"/>
        <w:ind w:left="540" w:hanging="271"/>
      </w:pPr>
      <w:r>
        <w:rPr>
          <w:rFonts w:ascii="Calibri" w:hAnsi="Calibri" w:eastAsia="Calibri"/>
          <w:color w:val="111111"/>
          <w:sz w:val="20"/>
        </w:rPr>
        <w:t xml:space="preserve">3.  </w:t>
      </w:r>
      <w:r>
        <w:rPr>
          <w:rFonts w:ascii="Calibri" w:hAnsi="Calibri" w:eastAsia="Calibri"/>
          <w:b/>
          <w:color w:val="17324D"/>
          <w:sz w:val="20"/>
        </w:rPr>
        <w:t xml:space="preserve">Add structured hard negatives. </w:t>
      </w:r>
      <w:r>
        <w:rPr>
          <w:rFonts w:ascii="Calibri" w:hAnsi="Calibri" w:eastAsia="Calibri"/>
          <w:color w:val="111111"/>
          <w:sz w:val="20"/>
        </w:rPr>
        <w:t>Track card backs, binder pages, multi-card scenes, screens, foreign-language cards, and unsupported printings separately instead of counting all abstentions as the same recall failure.</w:t>
      </w:r>
    </w:p>
    <w:p>
      <w:pPr>
        <w:spacing w:after="60" w:line="276" w:lineRule="auto"/>
        <w:ind w:left="540" w:hanging="271"/>
      </w:pPr>
      <w:r>
        <w:rPr>
          <w:rFonts w:ascii="Calibri" w:hAnsi="Calibri" w:eastAsia="Calibri"/>
          <w:color w:val="111111"/>
          <w:sz w:val="20"/>
        </w:rPr>
        <w:t xml:space="preserve">4.  </w:t>
      </w:r>
      <w:r>
        <w:rPr>
          <w:rFonts w:ascii="Calibri" w:hAnsi="Calibri" w:eastAsia="Calibri"/>
          <w:b/>
          <w:color w:val="17324D"/>
          <w:sz w:val="20"/>
        </w:rPr>
        <w:t xml:space="preserve">Measure by printing, not only name. </w:t>
      </w:r>
      <w:r>
        <w:rPr>
          <w:rFonts w:ascii="Calibri" w:hAnsi="Calibri" w:eastAsia="Calibri"/>
          <w:color w:val="111111"/>
          <w:sz w:val="20"/>
        </w:rPr>
        <w:t>Keep collector-number ground truth and fail tests when an accepted printing ID differs, even if the title/artwork is identical.</w:t>
      </w:r>
    </w:p>
    <w:p>
      <w:pPr>
        <w:spacing w:after="60" w:line="276" w:lineRule="auto"/>
        <w:ind w:left="540" w:hanging="271"/>
      </w:pPr>
      <w:r>
        <w:rPr>
          <w:rFonts w:ascii="Calibri" w:hAnsi="Calibri" w:eastAsia="Calibri"/>
          <w:color w:val="111111"/>
          <w:sz w:val="20"/>
        </w:rPr>
        <w:t xml:space="preserve">5.  </w:t>
      </w:r>
      <w:r>
        <w:rPr>
          <w:rFonts w:ascii="Calibri" w:hAnsi="Calibri" w:eastAsia="Calibri"/>
          <w:b/>
          <w:color w:val="17324D"/>
          <w:sz w:val="20"/>
        </w:rPr>
        <w:t xml:space="preserve">Tune only from evidence. </w:t>
      </w:r>
      <w:r>
        <w:rPr>
          <w:rFonts w:ascii="Calibri" w:hAnsi="Calibri" w:eastAsia="Calibri"/>
          <w:color w:val="111111"/>
          <w:sz w:val="20"/>
        </w:rPr>
        <w:t>Use score/margin/gate/OCR distributions from the clean holdout. Preserve the 0.70 strong threshold unless verified evidence supports a narrower conditional exception.</w:t>
      </w:r>
    </w:p>
    <w:p>
      <w:pPr>
        <w:spacing w:after="60" w:line="276" w:lineRule="auto"/>
        <w:ind w:left="540" w:hanging="271"/>
      </w:pPr>
      <w:r>
        <w:rPr>
          <w:rFonts w:ascii="Calibri" w:hAnsi="Calibri" w:eastAsia="Calibri"/>
          <w:color w:val="111111"/>
          <w:sz w:val="20"/>
        </w:rPr>
        <w:t xml:space="preserve">6.  </w:t>
      </w:r>
      <w:r>
        <w:rPr>
          <w:rFonts w:ascii="Calibri" w:hAnsi="Calibri" w:eastAsia="Calibri"/>
          <w:b/>
          <w:color w:val="17324D"/>
          <w:sz w:val="20"/>
        </w:rPr>
        <w:t xml:space="preserve">Improve coverage. </w:t>
      </w:r>
      <w:r>
        <w:rPr>
          <w:rFonts w:ascii="Calibri" w:hAnsi="Calibri" w:eastAsia="Calibri"/>
          <w:color w:val="111111"/>
          <w:sz w:val="20"/>
        </w:rPr>
        <w:t>Add missing promos and, if product scope requires it, language-aware catalogs/recognition. Coverage gaps cannot be solved by lowering thresholds.</w:t>
      </w:r>
    </w:p>
    <w:p>
      <w:pPr>
        <w:spacing w:after="60" w:line="276" w:lineRule="auto"/>
        <w:ind w:left="540" w:hanging="271"/>
      </w:pPr>
      <w:r>
        <w:rPr>
          <w:rFonts w:ascii="Calibri" w:hAnsi="Calibri" w:eastAsia="Calibri"/>
          <w:color w:val="111111"/>
          <w:sz w:val="20"/>
        </w:rPr>
        <w:t xml:space="preserve">7.  </w:t>
      </w:r>
      <w:r>
        <w:rPr>
          <w:rFonts w:ascii="Calibri" w:hAnsi="Calibri" w:eastAsia="Calibri"/>
          <w:b/>
          <w:color w:val="17324D"/>
          <w:sz w:val="20"/>
        </w:rPr>
        <w:t xml:space="preserve">Plan asset delivery. </w:t>
      </w:r>
      <w:r>
        <w:rPr>
          <w:rFonts w:ascii="Calibri" w:hAnsi="Calibri" w:eastAsia="Calibri"/>
          <w:color w:val="111111"/>
          <w:sz w:val="20"/>
        </w:rPr>
        <w:t>Version scanner artifacts together; move fingerprints to R2 first, validate downloads before atomic swap, and keep bundled fallback behavior.</w:t>
      </w:r>
    </w:p>
    <w:p>
      <w:pPr>
        <w:spacing w:after="60" w:line="276" w:lineRule="auto"/>
        <w:ind w:left="540" w:hanging="271"/>
      </w:pPr>
      <w:r>
        <w:rPr>
          <w:rFonts w:ascii="Calibri" w:hAnsi="Calibri" w:eastAsia="Calibri"/>
          <w:color w:val="111111"/>
          <w:sz w:val="20"/>
        </w:rPr>
        <w:t xml:space="preserve">8.  </w:t>
      </w:r>
      <w:r>
        <w:rPr>
          <w:rFonts w:ascii="Calibri" w:hAnsi="Calibri" w:eastAsia="Calibri"/>
          <w:b/>
          <w:color w:val="17324D"/>
          <w:sz w:val="20"/>
        </w:rPr>
        <w:t xml:space="preserve">Productionize labeling feedback. </w:t>
      </w:r>
      <w:r>
        <w:rPr>
          <w:rFonts w:ascii="Calibri" w:hAnsi="Calibri" w:eastAsia="Calibri"/>
          <w:color w:val="111111"/>
          <w:sz w:val="20"/>
        </w:rPr>
        <w:t>Export uncertain captures with prediction evidence into Roboflow or another labeling workspace, then maintain reviewed train/validation/test splits and dataset licenses.</w:t>
      </w:r>
    </w:p>
    <w:p>
      <w:pPr>
        <w:pStyle w:val="Heading2"/>
      </w:pPr>
      <w:r>
        <w:t>Decision guide</w:t>
      </w:r>
    </w:p>
    <w:tbl>
      <w:tblPr>
        <w:tblStyle w:val="TableGrid"/>
        <w:tblW w:type="dxa" w:w="9360"/>
        <w:jc w:val="left"/>
        <w:tblLayout w:type="fixed"/>
        <w:tblLook w:firstColumn="1" w:firstRow="1" w:lastColumn="0" w:lastRow="0" w:noHBand="0" w:noVBand="1" w:val="04A0"/>
        <w:tblInd w:w="120" w:type="dxa"/>
      </w:tblPr>
      <w:tblGrid>
        <w:gridCol w:w="3420"/>
        <w:gridCol w:w="5940"/>
      </w:tblGrid>
      <w:tr>
        <w:trPr>
          <w:tblHeader w:val="true"/>
          <w:cantSplit/>
        </w:trPr>
        <w:tc>
          <w:tcPr>
            <w:tcW w:type="dxa" w:w="342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Observation</w:t>
            </w:r>
          </w:p>
        </w:tc>
        <w:tc>
          <w:tcPr>
            <w:tcW w:type="dxa" w:w="5940"/>
            <w:shd w:fill="E8EEF5"/>
            <w:tcMar>
              <w:top w:w="80" w:type="dxa"/>
              <w:start w:w="120" w:type="dxa"/>
              <w:bottom w:w="80" w:type="dxa"/>
              <w:end w:w="120" w:type="dxa"/>
            </w:tcMar>
            <w:vAlign w:val="center"/>
          </w:tcPr>
          <w:p>
            <w:pPr>
              <w:spacing w:before="0" w:after="0" w:line="259" w:lineRule="auto"/>
            </w:pPr>
            <w:r/>
            <w:r>
              <w:rPr>
                <w:rFonts w:ascii="Calibri" w:hAnsi="Calibri" w:eastAsia="Calibri"/>
                <w:b/>
                <w:color w:val="17324D"/>
                <w:sz w:val="17"/>
              </w:rPr>
              <w:t>Preferred action</w:t>
            </w:r>
          </w:p>
        </w:tc>
      </w:tr>
      <w:tr>
        <w:trPr>
          <w:cantSplit/>
        </w:trPr>
        <w:tc>
          <w:tcPr>
            <w:tcW w:type="dxa" w:w="34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Correct title, wrong printing</w:t>
            </w:r>
          </w:p>
        </w:tc>
        <w:tc>
          <w:tcPr>
            <w:tcW w:type="dxa" w:w="5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Tighten same-name printing separation or improve collector-number evidence; do not count as correct.</w:t>
            </w:r>
          </w:p>
        </w:tc>
      </w:tr>
      <w:tr>
        <w:trPr>
          <w:cantSplit/>
        </w:trPr>
        <w:tc>
          <w:tcPr>
            <w:tcW w:type="dxa" w:w="34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Supported single card, gate rejects</w:t>
            </w:r>
          </w:p>
        </w:tc>
        <w:tc>
          <w:tcPr>
            <w:tcW w:type="dxa" w:w="5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Inspect gate score and OCR evidence; consider a narrowly proven conditional override.</w:t>
            </w:r>
          </w:p>
        </w:tc>
      </w:tr>
      <w:tr>
        <w:trPr>
          <w:cantSplit/>
        </w:trPr>
        <w:tc>
          <w:tcPr>
            <w:tcW w:type="dxa" w:w="3420"/>
            <w:tcMar>
              <w:top w:w="80" w:type="dxa"/>
              <w:start w:w="120" w:type="dxa"/>
              <w:bottom w:w="80" w:type="dxa"/>
              <w:end w:w="120" w:type="dxa"/>
            </w:tcMar>
            <w:vAlign w:val="center"/>
          </w:tcPr>
          <w:p>
            <w:pPr>
              <w:spacing w:before="0" w:after="0" w:line="259" w:lineRule="auto"/>
            </w:pPr>
            <w:r/>
            <w:r>
              <w:rPr>
                <w:rFonts w:ascii="Aptos Mono" w:hAnsi="Aptos Mono" w:eastAsia="Aptos Mono"/>
                <w:b w:val="0"/>
                <w:color w:val="111111"/>
                <w:sz w:val="16"/>
              </w:rPr>
              <w:t>Top score below threshold, exact title/collector OCR</w:t>
            </w:r>
          </w:p>
        </w:tc>
        <w:tc>
          <w:tcPr>
            <w:tcW w:type="dxa" w:w="5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Allow evidence-backed constrained retrieval if printing ambiguity is resolved.</w:t>
            </w:r>
          </w:p>
        </w:tc>
      </w:tr>
      <w:tr>
        <w:trPr>
          <w:cantSplit/>
        </w:trPr>
        <w:tc>
          <w:tcPr>
            <w:tcW w:type="dxa" w:w="34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Foreign language or absent promo</w:t>
            </w:r>
          </w:p>
        </w:tc>
        <w:tc>
          <w:tcPr>
            <w:tcW w:type="dxa" w:w="5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Expand catalog/language coverage; threshold tuning will not add missing candidates.</w:t>
            </w:r>
          </w:p>
        </w:tc>
      </w:tr>
      <w:tr>
        <w:trPr>
          <w:cantSplit/>
        </w:trPr>
        <w:tc>
          <w:tcPr>
            <w:tcW w:type="dxa" w:w="34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Binder or multi-card scene</w:t>
            </w:r>
          </w:p>
        </w:tc>
        <w:tc>
          <w:tcPr>
            <w:tcW w:type="dxa" w:w="5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Route to Binder mode or abstain; do not tune the single-card recognizer around it.</w:t>
            </w:r>
          </w:p>
        </w:tc>
      </w:tr>
      <w:tr>
        <w:trPr>
          <w:cantSplit/>
        </w:trPr>
        <w:tc>
          <w:tcPr>
            <w:tcW w:type="dxa" w:w="342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Physical-device latency too high</w:t>
            </w:r>
          </w:p>
        </w:tc>
        <w:tc>
          <w:tcPr>
            <w:tcW w:type="dxa" w:w="5940"/>
            <w:tcMar>
              <w:top w:w="80" w:type="dxa"/>
              <w:start w:w="120" w:type="dxa"/>
              <w:bottom w:w="80" w:type="dxa"/>
              <w:end w:w="120" w:type="dxa"/>
            </w:tcMar>
            <w:vAlign w:val="center"/>
          </w:tcPr>
          <w:p>
            <w:pPr>
              <w:spacing w:before="0" w:after="0" w:line="259" w:lineRule="auto"/>
            </w:pPr>
            <w:r/>
            <w:r>
              <w:rPr>
                <w:rFonts w:ascii="Calibri" w:hAnsi="Calibri" w:eastAsia="Calibri"/>
                <w:b w:val="0"/>
                <w:color w:val="111111"/>
                <w:sz w:val="16"/>
              </w:rPr>
              <w:t>Profile detector/OCR scheduling, keep accurate OCR shutter-only, and measure ANE behavior before simplifying safety gates.</w:t>
            </w:r>
          </w:p>
        </w:tc>
      </w:tr>
    </w:tbl>
    <w:p>
      <w:pPr>
        <w:spacing w:after="40"/>
      </w:pPr>
    </w:p>
    <w:p>
      <w:pPr>
        <w:pStyle w:val="Heading1"/>
      </w:pPr>
      <w:r>
        <w:t>11. Bottom line</w:t>
      </w:r>
    </w:p>
    <w:p>
      <w:r>
        <w:t>The scanner has moved from a permissive, poorly localized prototype toward a conservative production pipeline with measurable localization, evidence-backed recall recovery, and printing-level safeguards. The next improvements should come from cleaner independent data and physical-device measurements—not from broadly lowering rejection thresholds.</w:t>
      </w: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0"/>
        <w:sz w:val="16"/>
      </w:rPr>
      <w:t xml:space="preserve">TCGer • 9 Aug 2026 • </w:t>
    </w:r>
    <w:r>
      <w:rPr>
        <w:rFonts w:ascii="Calibri" w:hAnsi="Calibri" w:eastAsia="Calibri"/>
        <w:color w:val="5B6570"/>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0"/>
        <w:sz w:val="16"/>
      </w:rPr>
      <w:t xml:space="preserve">TCGer • 9 Aug 2026 • </w:t>
    </w:r>
    <w:r>
      <w:rPr>
        <w:rFonts w:ascii="Calibri" w:hAnsi="Calibri" w:eastAsia="Calibri"/>
        <w:color w:val="5B657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dxa" w:w="9360"/>
      <w:jc w:val="left"/>
      <w:tblLayout w:type="fixed"/>
      <w:tblLook w:firstColumn="1" w:firstRow="1" w:lastColumn="0" w:lastRow="0" w:noHBand="0" w:noVBand="1" w:val="04A0"/>
      <w:tblInd w:w="0" w:type="dxa"/>
    </w:tblPr>
    <w:tblGrid>
      <w:gridCol w:w="4680"/>
      <w:gridCol w:w="4680"/>
    </w:tblGrid>
    <w:tr>
      <w:trPr>
        <w:cantSplit/>
      </w:trPr>
      <w:tc>
        <w:tcPr>
          <w:tcW w:type="dxa" w:w="4680"/>
          <w:tcMar>
            <w:top w:w="45" w:type="dxa"/>
            <w:start w:w="90" w:type="dxa"/>
            <w:bottom w:w="45" w:type="dxa"/>
            <w:end w:w="90" w:type="dxa"/>
          </w:tcMar>
          <w:vAlign w:val="center"/>
          <w:shd w:fill="17324D"/>
        </w:tcPr>
        <w:p>
          <w:pPr>
            <w:spacing w:before="0" w:after="0" w:line="259" w:lineRule="auto"/>
          </w:pPr>
          <w:r/>
          <w:r>
            <w:rPr>
              <w:rFonts w:ascii="Calibri" w:hAnsi="Calibri" w:eastAsia="Calibri"/>
              <w:b/>
              <w:color w:val="FFFFFF"/>
              <w:sz w:val="16"/>
            </w:rPr>
            <w:t>TCGer iOS Scanner</w:t>
          </w:r>
        </w:p>
      </w:tc>
      <w:tc>
        <w:tcPr>
          <w:tcW w:type="dxa" w:w="4680"/>
          <w:tcMar>
            <w:top w:w="45" w:type="dxa"/>
            <w:start w:w="90" w:type="dxa"/>
            <w:bottom w:w="45" w:type="dxa"/>
            <w:end w:w="90" w:type="dxa"/>
          </w:tcMar>
          <w:vAlign w:val="center"/>
          <w:shd w:fill="17324D"/>
        </w:tcPr>
        <w:p>
          <w:pPr>
            <w:spacing w:before="0" w:after="0" w:line="259" w:lineRule="auto"/>
            <w:jc w:val="right"/>
          </w:pPr>
          <w:r/>
          <w:r>
            <w:rPr>
              <w:rFonts w:ascii="Calibri" w:hAnsi="Calibri" w:eastAsia="Calibri"/>
              <w:b w:val="0"/>
              <w:color w:val="FFFFFF"/>
              <w:sz w:val="16"/>
            </w:rPr>
            <w:t>Technical work &amp; resource inventory</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dxa" w:w="9360"/>
      <w:jc w:val="left"/>
      <w:tblLayout w:type="fixed"/>
      <w:tblLook w:firstColumn="1" w:firstRow="1" w:lastColumn="0" w:lastRow="0" w:noHBand="0" w:noVBand="1" w:val="04A0"/>
      <w:tblInd w:w="0" w:type="dxa"/>
    </w:tblPr>
    <w:tblGrid>
      <w:gridCol w:w="4680"/>
      <w:gridCol w:w="4680"/>
    </w:tblGrid>
    <w:tr>
      <w:trPr>
        <w:cantSplit/>
      </w:trPr>
      <w:tc>
        <w:tcPr>
          <w:tcW w:type="dxa" w:w="4680"/>
          <w:tcMar>
            <w:top w:w="45" w:type="dxa"/>
            <w:start w:w="90" w:type="dxa"/>
            <w:bottom w:w="45" w:type="dxa"/>
            <w:end w:w="90" w:type="dxa"/>
          </w:tcMar>
          <w:vAlign w:val="center"/>
          <w:shd w:fill="17324D"/>
        </w:tcPr>
        <w:p>
          <w:pPr>
            <w:spacing w:before="0" w:after="0" w:line="259" w:lineRule="auto"/>
          </w:pPr>
          <w:r/>
          <w:r>
            <w:rPr>
              <w:rFonts w:ascii="Calibri" w:hAnsi="Calibri" w:eastAsia="Calibri"/>
              <w:b/>
              <w:color w:val="FFFFFF"/>
              <w:sz w:val="16"/>
            </w:rPr>
            <w:t>TCGer iOS Scanner</w:t>
          </w:r>
        </w:p>
      </w:tc>
      <w:tc>
        <w:tcPr>
          <w:tcW w:type="dxa" w:w="4680"/>
          <w:tcMar>
            <w:top w:w="45" w:type="dxa"/>
            <w:start w:w="90" w:type="dxa"/>
            <w:bottom w:w="45" w:type="dxa"/>
            <w:end w:w="90" w:type="dxa"/>
          </w:tcMar>
          <w:vAlign w:val="center"/>
          <w:shd w:fill="17324D"/>
        </w:tcPr>
        <w:p>
          <w:pPr>
            <w:spacing w:before="0" w:after="0" w:line="259" w:lineRule="auto"/>
            <w:jc w:val="right"/>
          </w:pPr>
          <w:r/>
          <w:r>
            <w:rPr>
              <w:rFonts w:ascii="Calibri" w:hAnsi="Calibri" w:eastAsia="Calibri"/>
              <w:b w:val="0"/>
              <w:color w:val="FFFFFF"/>
              <w:sz w:val="16"/>
            </w:rPr>
            <w:t>Technical work &amp; resource inventory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TCGer iOS Scanner — Work Completed and Resource Inventory</dc:title>
  <dc:subject>Scanner implementation, benchmarks, datasets, models, and next steps</dc:subject>
  <dc:creator>OpenAI Codex, prepared for the TCGer project</dc:creator>
  <cp:keywords>TCGer, iOS, scanner, Core ML, Roboflow, OCR, card recognition</cp:keywords>
  <dc:description>Generated from the verified local workspace state on 2026-08-09.</dc:description>
  <cp:lastModifiedBy/>
  <cp:revision>1</cp:revision>
  <dcterms:created xsi:type="dcterms:W3CDTF">2013-12-23T23:15:00Z</dcterms:created>
  <dcterms:modified xsi:type="dcterms:W3CDTF">2013-12-23T23:15:00Z</dcterms:modified>
  <cp:category/>
</cp:coreProperties>
</file>