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TCGer dependency advisory review</w:t>
      </w:r>
    </w:p>
    <w:p>
      <w:r>
        <w:t>October 8, 2026 · Local source and production frontend image</w:t>
      </w:r>
    </w:p>
    <w:p>
      <w:r>
        <w:t>The previous 35 affected package entries came from five underlying advisories. Targeted dependency replacements reduce the full audit to 11 entries from two advisories. The production omission audit now has three moderate entries and no critical or high entries. Package counts include dependency chains; they are not independent exploitable endpoints.</w:t>
      </w:r>
    </w:p>
    <w:p>
      <w:pPr>
        <w:pStyle w:val="Heading1"/>
      </w:pPr>
      <w:r>
        <w:t>Audit result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80"/>
            </w:pPr>
            <w:r>
              <w:rPr>
                <w:sz w:val="19"/>
              </w:rPr>
              <w:t>Audit</w:t>
            </w:r>
          </w:p>
        </w:tc>
        <w:tc>
          <w:tcPr>
            <w:tcW w:type="dxa" w:w="3408"/>
          </w:tcPr>
          <w:p>
            <w:pPr>
              <w:spacing w:after="80"/>
            </w:pPr>
            <w:r>
              <w:rPr>
                <w:sz w:val="19"/>
              </w:rPr>
              <w:t>Before this follow-up</w:t>
            </w:r>
          </w:p>
        </w:tc>
        <w:tc>
          <w:tcPr>
            <w:tcW w:type="dxa" w:w="3408"/>
          </w:tcPr>
          <w:p>
            <w:pPr>
              <w:spacing w:after="80"/>
            </w:pPr>
            <w:r>
              <w:rPr>
                <w:sz w:val="19"/>
              </w:rPr>
              <w:t>Current</w:t>
            </w:r>
          </w:p>
        </w:tc>
      </w:tr>
      <w:tr>
        <w:tc>
          <w:tcPr>
            <w:tcW w:type="dxa" w:w="3408"/>
          </w:tcPr>
          <w:p>
            <w:pPr>
              <w:spacing w:after="80"/>
            </w:pPr>
            <w:r>
              <w:rPr>
                <w:sz w:val="19"/>
              </w:rPr>
              <w:t>Full workspace tree</w:t>
            </w:r>
          </w:p>
        </w:tc>
        <w:tc>
          <w:tcPr>
            <w:tcW w:type="dxa" w:w="3408"/>
          </w:tcPr>
          <w:p>
            <w:pPr>
              <w:spacing w:after="80"/>
            </w:pPr>
            <w:r>
              <w:rPr>
                <w:sz w:val="19"/>
              </w:rPr>
              <w:t>35: 10 high, 24 moderate, 1 low</w:t>
            </w:r>
          </w:p>
        </w:tc>
        <w:tc>
          <w:tcPr>
            <w:tcW w:type="dxa" w:w="3408"/>
          </w:tcPr>
          <w:p>
            <w:pPr>
              <w:spacing w:after="80"/>
            </w:pPr>
            <w:r>
              <w:rPr>
                <w:sz w:val="19"/>
              </w:rPr>
              <w:t>11: 7 high, 4 moderate</w:t>
            </w:r>
          </w:p>
        </w:tc>
      </w:tr>
      <w:tr>
        <w:tc>
          <w:tcPr>
            <w:tcW w:type="dxa" w:w="3408"/>
          </w:tcPr>
          <w:p>
            <w:pPr>
              <w:spacing w:after="80"/>
            </w:pPr>
            <w:r>
              <w:rPr>
                <w:sz w:val="19"/>
              </w:rPr>
              <w:t>Production omission</w:t>
            </w:r>
          </w:p>
        </w:tc>
        <w:tc>
          <w:tcPr>
            <w:tcW w:type="dxa" w:w="3408"/>
          </w:tcPr>
          <w:p>
            <w:pPr>
              <w:spacing w:after="80"/>
            </w:pPr>
            <w:r>
              <w:rPr>
                <w:sz w:val="19"/>
              </w:rPr>
              <w:t>7: 3 high, 3 moderate, 1 low</w:t>
            </w:r>
          </w:p>
        </w:tc>
        <w:tc>
          <w:tcPr>
            <w:tcW w:type="dxa" w:w="3408"/>
          </w:tcPr>
          <w:p>
            <w:pPr>
              <w:spacing w:after="80"/>
            </w:pPr>
            <w:r>
              <w:rPr>
                <w:sz w:val="19"/>
              </w:rPr>
              <w:t>3: 3 moderate</w:t>
            </w:r>
          </w:p>
        </w:tc>
      </w:tr>
      <w:tr>
        <w:tc>
          <w:tcPr>
            <w:tcW w:type="dxa" w:w="3408"/>
          </w:tcPr>
          <w:p>
            <w:pPr>
              <w:spacing w:after="80"/>
            </w:pPr>
            <w:r>
              <w:rPr>
                <w:sz w:val="19"/>
              </w:rPr>
              <w:t>Underlying advisories</w:t>
            </w:r>
          </w:p>
        </w:tc>
        <w:tc>
          <w:tcPr>
            <w:tcW w:type="dxa" w:w="3408"/>
          </w:tcPr>
          <w:p>
            <w:pPr>
              <w:spacing w:after="80"/>
            </w:pPr>
            <w:r>
              <w:rPr>
                <w:sz w:val="19"/>
              </w:rPr>
              <w:t>5</w:t>
            </w:r>
          </w:p>
        </w:tc>
        <w:tc>
          <w:tcPr>
            <w:tcW w:type="dxa" w:w="3408"/>
          </w:tcPr>
          <w:p>
            <w:pPr>
              <w:spacing w:after="80"/>
            </w:pPr>
            <w:r>
              <w:rPr>
                <w:sz w:val="19"/>
              </w:rPr>
              <w:t>2</w:t>
            </w:r>
          </w:p>
        </w:tc>
      </w:tr>
      <w:tr>
        <w:tc>
          <w:tcPr>
            <w:tcW w:type="dxa" w:w="3408"/>
          </w:tcPr>
          <w:p>
            <w:pPr>
              <w:spacing w:after="80"/>
            </w:pPr>
            <w:r>
              <w:rPr>
                <w:sz w:val="19"/>
              </w:rPr>
              <w:t>Critical entries</w:t>
            </w:r>
          </w:p>
        </w:tc>
        <w:tc>
          <w:tcPr>
            <w:tcW w:type="dxa" w:w="3408"/>
          </w:tcPr>
          <w:p>
            <w:pPr>
              <w:spacing w:after="80"/>
            </w:pPr>
            <w:r>
              <w:rPr>
                <w:sz w:val="19"/>
              </w:rPr>
              <w:t>0</w:t>
            </w:r>
          </w:p>
        </w:tc>
        <w:tc>
          <w:tcPr>
            <w:tcW w:type="dxa" w:w="3408"/>
          </w:tcPr>
          <w:p>
            <w:pPr>
              <w:spacing w:after="80"/>
            </w:pPr>
            <w:r>
              <w:rPr>
                <w:sz w:val="19"/>
              </w:rPr>
              <w:t>0</w:t>
            </w:r>
          </w:p>
        </w:tc>
      </w:tr>
    </w:tbl>
    <w:p>
      <w:pPr>
        <w:pStyle w:val="Heading1"/>
      </w:pPr>
      <w:r>
        <w:t>Fixes applied</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80"/>
            </w:pPr>
            <w:r>
              <w:rPr>
                <w:sz w:val="19"/>
              </w:rPr>
              <w:t>Dependency</w:t>
            </w:r>
          </w:p>
        </w:tc>
        <w:tc>
          <w:tcPr>
            <w:tcW w:type="dxa" w:w="5112"/>
          </w:tcPr>
          <w:p>
            <w:pPr>
              <w:spacing w:after="80"/>
            </w:pPr>
            <w:r>
              <w:rPr>
                <w:sz w:val="19"/>
              </w:rPr>
              <w:t>Change and purpose</w:t>
            </w:r>
          </w:p>
        </w:tc>
      </w:tr>
      <w:tr>
        <w:tc>
          <w:tcPr>
            <w:tcW w:type="dxa" w:w="5112"/>
          </w:tcPr>
          <w:p>
            <w:pPr>
              <w:spacing w:after="80"/>
            </w:pPr>
            <w:r>
              <w:rPr>
                <w:sz w:val="19"/>
              </w:rPr>
              <w:t>deepmerge-ts</w:t>
            </w:r>
          </w:p>
        </w:tc>
        <w:tc>
          <w:tcPr>
            <w:tcW w:type="dxa" w:w="5112"/>
          </w:tcPr>
          <w:p>
            <w:pPr>
              <w:spacing w:after="80"/>
            </w:pPr>
            <w:r>
              <w:rPr>
                <w:sz w:val="19"/>
              </w:rPr>
              <w:t>7.1.5 → 8.0.2 in Prisma config; fixes recursive-object stack exhaustion. Prisma stays at 6.19.3.</w:t>
            </w:r>
          </w:p>
        </w:tc>
      </w:tr>
      <w:tr>
        <w:tc>
          <w:tcPr>
            <w:tcW w:type="dxa" w:w="5112"/>
          </w:tcPr>
          <w:p>
            <w:pPr>
              <w:spacing w:after="80"/>
            </w:pPr>
            <w:r>
              <w:rPr>
                <w:sz w:val="19"/>
              </w:rPr>
              <w:t>postcss-selector-parser</w:t>
            </w:r>
          </w:p>
        </w:tc>
        <w:tc>
          <w:tcPr>
            <w:tcW w:type="dxa" w:w="5112"/>
          </w:tcPr>
          <w:p>
            <w:pPr>
              <w:spacing w:after="80"/>
            </w:pPr>
            <w:r>
              <w:rPr>
                <w:sz w:val="19"/>
              </w:rPr>
              <w:t>6.1.4 → 7.1.6 for Tailwind/PostCSS Nested; fixes excessive CPU use on crafted selectors.</w:t>
            </w:r>
          </w:p>
        </w:tc>
      </w:tr>
      <w:tr>
        <w:tc>
          <w:tcPr>
            <w:tcW w:type="dxa" w:w="5112"/>
          </w:tcPr>
          <w:p>
            <w:pPr>
              <w:spacing w:after="80"/>
            </w:pPr>
            <w:r>
              <w:rPr>
                <w:sz w:val="19"/>
              </w:rPr>
              <w:t>esbuild</w:t>
            </w:r>
          </w:p>
        </w:tc>
        <w:tc>
          <w:tcPr>
            <w:tcW w:type="dxa" w:w="5112"/>
          </w:tcPr>
          <w:p>
            <w:pPr>
              <w:spacing w:after="80"/>
            </w:pPr>
            <w:r>
              <w:rPr>
                <w:sz w:val="19"/>
              </w:rPr>
              <w:t>Affected 0.27.3–0.28.0 versions → 0.28.2. Convex’s unaffected 0.27.0 is retained.</w:t>
            </w:r>
          </w:p>
        </w:tc>
      </w:tr>
      <w:tr>
        <w:tc>
          <w:tcPr>
            <w:tcW w:type="dxa" w:w="5112"/>
          </w:tcPr>
          <w:p>
            <w:pPr>
              <w:spacing w:after="80"/>
            </w:pPr>
            <w:r>
              <w:rPr>
                <w:sz w:val="19"/>
              </w:rPr>
              <w:t>NYC coverage YAML</w:t>
            </w:r>
          </w:p>
        </w:tc>
        <w:tc>
          <w:tcPr>
            <w:tcW w:type="dxa" w:w="5112"/>
          </w:tcPr>
          <w:p>
            <w:pPr>
              <w:spacing w:after="80"/>
            </w:pPr>
            <w:r>
              <w:rPr>
                <w:sz w:val="19"/>
              </w:rPr>
              <w:t>Legacy YAML → js-yaml 4.3.2. Removes the repeated Jest/coverage sprintf chain; YAML config loading and inheritance work.</w:t>
            </w:r>
          </w:p>
        </w:tc>
      </w:tr>
    </w:tbl>
    <w:p>
      <w:r>
        <w:t>npm 11.19.0 is now pinned in packageManager, CI installation steps and application Docker recipes. npm 11.9 fails the patched frozen-install check because it does not consistently apply workspace overrides. Local instructions include the required installer update. No forced framework/database downgrade was applied.</w:t>
      </w:r>
    </w:p>
    <w:p>
      <w:r>
        <w:br w:type="page"/>
      </w:r>
    </w:p>
    <w:p>
      <w:pPr>
        <w:pStyle w:val="Title"/>
      </w:pPr>
      <w:r>
        <w:t>Remaining findings</w:t>
      </w:r>
    </w:p>
    <w:p>
      <w:pPr>
        <w:pStyle w:val="Heading1"/>
      </w:pPr>
      <w:r>
        <w:t>braces — high, development tooling</w:t>
      </w:r>
    </w:p>
    <w:p>
      <w:r>
        <w:t>Installed/latest release: 3.0.3. No patched upstream release was available when checked. GHSA-vfj7-8cjw-p6xm describes stack exhaustion from deeply nested brace patterns.</w:t>
      </w:r>
    </w:p>
    <w:p>
      <w:r>
        <w:t>Seven affected entries: braces, micromatch, fast-glob, chokidar, tailwindcss, @next/eslint-plugin-next and eslint-config-next. They are absent from the production omission audit. The affected paths build, watch and lint source. Repository Tailwind patterns are fixed configuration; no application route accepting brace patterns was identified.</w:t>
      </w:r>
    </w:p>
    <w:p>
      <w:r>
        <w:t>Observed exposure is in development/build tooling processing source or configuration. Keep these inputs trusted and follow up when braces is patched or both Tailwind and Next lint tooling remove the chain. A Tailwind 4 migration alone would leave Next’s lint chain. npm’s suggested Next lint downgrade was not applied.</w:t>
      </w:r>
    </w:p>
    <w:p>
      <w:pPr>
        <w:pStyle w:val="Heading1"/>
      </w:pPr>
      <w:r>
        <w:t>sprintf-js — moderate, TensorFlow dependency</w:t>
      </w:r>
    </w:p>
    <w:p>
      <w:r>
        <w:t>Installed release: 1.0.3. Latest release 1.1.3 is also affected and has no upstream patch. GHSA-hp3w-g68c-fv3c concerns denial of service through unbounded format-string precision.</w:t>
      </w:r>
    </w:p>
    <w:p>
      <w:r>
        <w:t>The remaining chain is TensorFlow.js → argparse 1.0.10 → sprintf-js. Three entries appear in production dependency metadata; development-only tfjs-node is the fourth entry in the full audit. TensorFlow supports the web scanner and existing offline tools.</w:t>
      </w:r>
    </w:p>
    <w:p>
      <w:r>
        <w:t>The installed TensorFlow package has no argparse import outside its dependency metadata, and actual tensor execution did not load argparse or sprintf-js. No application formatting/request path was identified. This lowers observed exposure without erasing the dependency finding. Do not supply untrusted format strings to these packages.</w:t>
      </w:r>
    </w:p>
    <w:p>
      <w:r>
        <w:t>Follow up on a patched sprintf release or a TensorFlow release dropping the obsolete CLI dependency. Modular TensorFlow imports are a possible future migration requiring scanner qualification. An argparse major override was not applied because its CLI API changes.</w:t>
      </w:r>
    </w:p>
    <w:p>
      <w:pPr>
        <w:pStyle w:val="Heading1"/>
      </w:pPr>
      <w:r>
        <w:t>Production image inspection</w:t>
      </w:r>
    </w:p>
    <w:p>
      <w:r>
        <w:t>The rebuilt frontend image contains no braces, argparse or sprintf-js package directories in its traced server filesystem. It runs as UID 1000, contains no dotenv files, and measures 548,993,833 bytes. This inspection does not change the full dependency-tree audit totals or prove every browser/model path safe.</w:t>
      </w:r>
    </w:p>
    <w:p>
      <w:r>
        <w:br w:type="page"/>
      </w:r>
    </w:p>
    <w:p>
      <w:pPr>
        <w:pStyle w:val="Title"/>
      </w:pPr>
      <w:r>
        <w:t>Verification and follow-up</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80"/>
            </w:pPr>
            <w:r>
              <w:rPr>
                <w:sz w:val="19"/>
              </w:rPr>
              <w:t>Check</w:t>
            </w:r>
          </w:p>
        </w:tc>
        <w:tc>
          <w:tcPr>
            <w:tcW w:type="dxa" w:w="5112"/>
          </w:tcPr>
          <w:p>
            <w:pPr>
              <w:spacing w:after="80"/>
            </w:pPr>
            <w:r>
              <w:rPr>
                <w:sz w:val="19"/>
              </w:rPr>
              <w:t>Result</w:t>
            </w:r>
          </w:p>
        </w:tc>
      </w:tr>
      <w:tr>
        <w:tc>
          <w:tcPr>
            <w:tcW w:type="dxa" w:w="5112"/>
          </w:tcPr>
          <w:p>
            <w:pPr>
              <w:spacing w:after="80"/>
            </w:pPr>
            <w:r>
              <w:rPr>
                <w:sz w:val="19"/>
              </w:rPr>
              <w:t>Dependency installation</w:t>
            </w:r>
          </w:p>
        </w:tc>
        <w:tc>
          <w:tcPr>
            <w:tcW w:type="dxa" w:w="5112"/>
          </w:tcPr>
          <w:p>
            <w:pPr>
              <w:spacing w:after="80"/>
            </w:pPr>
            <w:r>
              <w:rPr>
                <w:sz w:val="19"/>
              </w:rPr>
              <w:t>Fresh scoped npm 11.19.0 ci passes with scripts disabled for a dependency-only fixture; full frozen-install dry run passes. Resolved replacement versions are valid.</w:t>
            </w:r>
          </w:p>
        </w:tc>
      </w:tr>
      <w:tr>
        <w:tc>
          <w:tcPr>
            <w:tcW w:type="dxa" w:w="5112"/>
          </w:tcPr>
          <w:p>
            <w:pPr>
              <w:spacing w:after="80"/>
            </w:pPr>
            <w:r>
              <w:rPr>
                <w:sz w:val="19"/>
              </w:rPr>
              <w:t>Production web</w:t>
            </w:r>
          </w:p>
        </w:tc>
        <w:tc>
          <w:tcPr>
            <w:tcW w:type="dxa" w:w="5112"/>
          </w:tcPr>
          <w:p>
            <w:r>
              <w:t>Frontend Docker build and all 42 desktop/mobile Chromium checks pass. Health, existing authenticated session and Android association JSON return 200. Final static demo export also passes with local fonts and the patched dependencies in an isolated source snapshot.</w:t>
            </w:r>
          </w:p>
        </w:tc>
      </w:tr>
      <w:tr>
        <w:tc>
          <w:tcPr>
            <w:tcW w:type="dxa" w:w="5112"/>
          </w:tcPr>
          <w:p>
            <w:pPr>
              <w:spacing w:after="80"/>
            </w:pPr>
            <w:r>
              <w:rPr>
                <w:sz w:val="19"/>
              </w:rPr>
              <w:t>Unit checks</w:t>
            </w:r>
          </w:p>
        </w:tc>
        <w:tc>
          <w:tcPr>
            <w:tcW w:type="dxa" w:w="5112"/>
          </w:tcPr>
          <w:p>
            <w:pPr>
              <w:spacing w:after="80"/>
            </w:pPr>
            <w:r>
              <w:rPr>
                <w:sz w:val="19"/>
              </w:rPr>
              <w:t>184 frontend; 270 backend; 135 Convex; 15 pricing-worker checks pass — 604 total.</w:t>
            </w:r>
          </w:p>
        </w:tc>
      </w:tr>
      <w:tr>
        <w:tc>
          <w:tcPr>
            <w:tcW w:type="dxa" w:w="5112"/>
          </w:tcPr>
          <w:p>
            <w:pPr>
              <w:spacing w:after="80"/>
            </w:pPr>
            <w:r>
              <w:rPr>
                <w:sz w:val="19"/>
              </w:rPr>
              <w:t>API and parity</w:t>
            </w:r>
          </w:p>
        </w:tc>
        <w:tc>
          <w:tcPr>
            <w:tcW w:type="dxa" w:w="5112"/>
          </w:tcPr>
          <w:p>
            <w:pPr>
              <w:spacing w:after="80"/>
            </w:pPr>
            <w:r>
              <w:rPr>
                <w:sz w:val="19"/>
              </w:rPr>
              <w:t>94 JavaScript API/health checks and 39 Convex API checks pass. Contracts remain valid for 116 features, 115 controls and 44 interactions.</w:t>
            </w:r>
          </w:p>
        </w:tc>
      </w:tr>
      <w:tr>
        <w:tc>
          <w:tcPr>
            <w:tcW w:type="dxa" w:w="5112"/>
          </w:tcPr>
          <w:p>
            <w:pPr>
              <w:spacing w:after="80"/>
            </w:pPr>
            <w:r>
              <w:rPr>
                <w:sz w:val="19"/>
              </w:rPr>
              <w:t>Build/tooling</w:t>
            </w:r>
          </w:p>
        </w:tc>
        <w:tc>
          <w:tcPr>
            <w:tcW w:type="dxa" w:w="5112"/>
          </w:tcPr>
          <w:p>
            <w:pPr>
              <w:spacing w:after="80"/>
            </w:pPr>
            <w:r>
              <w:rPr>
                <w:sz w:val="19"/>
              </w:rPr>
              <w:t>Frontend production build, Prisma client generation/backend build, Convex type check, pack-core asset verification/type check, explicit Prisma config/schema validation, and YAML config/extends loading pass.</w:t>
            </w:r>
          </w:p>
        </w:tc>
      </w:tr>
      <w:tr>
        <w:tc>
          <w:tcPr>
            <w:tcW w:type="dxa" w:w="5112"/>
          </w:tcPr>
          <w:p>
            <w:pPr>
              <w:spacing w:after="80"/>
            </w:pPr>
            <w:r>
              <w:rPr>
                <w:sz w:val="19"/>
              </w:rPr>
              <w:t>Scanner smoke</w:t>
            </w:r>
          </w:p>
        </w:tc>
        <w:tc>
          <w:tcPr>
            <w:tcW w:type="dxa" w:w="5112"/>
          </w:tcPr>
          <w:p>
            <w:pPr>
              <w:spacing w:after="80"/>
            </w:pPr>
            <w:r>
              <w:rPr>
                <w:sz w:val="19"/>
              </w:rPr>
              <w:t>Native ONNX CPU, Sharp crop/resize, native TensorFlow tensor math with the existing offline Node shim, and tar extraction pass. Recognition accuracy is not established.</w:t>
            </w:r>
          </w:p>
        </w:tc>
      </w:tr>
      <w:tr>
        <w:tc>
          <w:tcPr>
            <w:tcW w:type="dxa" w:w="5112"/>
          </w:tcPr>
          <w:p>
            <w:pPr>
              <w:spacing w:after="80"/>
            </w:pPr>
            <w:r>
              <w:rPr>
                <w:sz w:val="19"/>
              </w:rPr>
              <w:t>CI configuration</w:t>
            </w:r>
          </w:p>
        </w:tc>
        <w:tc>
          <w:tcPr>
            <w:tcW w:type="dxa" w:w="5112"/>
          </w:tcPr>
          <w:p>
            <w:pPr>
              <w:spacing w:after="80"/>
            </w:pPr>
            <w:r>
              <w:rPr>
                <w:sz w:val="19"/>
              </w:rPr>
              <w:t>All five edited workflow files parse; each of their six root dependency-install steps selects npm 11.19.0 first.</w:t>
            </w:r>
          </w:p>
        </w:tc>
      </w:tr>
    </w:tbl>
    <w:p>
      <w:pPr>
        <w:pStyle w:val="Heading1"/>
      </w:pPr>
      <w:r>
        <w:t>Practical limits</w:t>
      </w:r>
    </w:p>
    <w:p>
      <w:r>
        <w:t>Checks were executed locally before committing. No production deployment or database migration was performed during this review. Real-host backup/restore, full production Compose/backend container qualification, native Android UI and iOS execution retain the earlier gaps. Browser workflows use the repository’s fixtures and do not establish physical-camera/model accuracy.</w:t>
      </w:r>
    </w:p>
    <w:p>
      <w:r>
        <w:t>The initial Docker rebuild exhausted this environment’s disk. Removing completed audit artifacts and selected unused audit build caches allowed a successful rebuild. The temporary Dockerfile removes only the optional syntax-image directive and uses BuildKit’s bundled frontend, as in the prior qualification.</w:t>
      </w:r>
    </w:p>
    <w:p>
      <w:pPr>
        <w:pStyle w:val="Heading1"/>
      </w:pPr>
      <w:r>
        <w:t>Advisory sources</w:t>
      </w:r>
    </w:p>
    <w:p>
      <w:r>
        <w:t>https://github.com/advisories/GHSA-ggr8-5vv4-36mx</w:t>
      </w:r>
    </w:p>
    <w:p>
      <w:r>
        <w:t>https://github.com/advisories/GHSA-rj75-hqrm-r3gf</w:t>
      </w:r>
    </w:p>
    <w:p>
      <w:r>
        <w:t>https://github.com/advisories/GHSA-g7r4-m6w7-qqqr</w:t>
      </w:r>
    </w:p>
    <w:p>
      <w:r>
        <w:t>https://github.com/advisories/GHSA-vfj7-8cjw-p6xm</w:t>
      </w:r>
    </w:p>
    <w:p>
      <w:r>
        <w:t>https://github.com/advisories/GHSA-hp3w-g68c-fv3c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TCGer | October 8,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