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TCGer — upgrades and fixes</w:t>
      </w:r>
    </w:p>
    <w:p>
      <w:r>
        <w:t>October 8, 2026 · Companion to the mobile/desktop interface review</w:t>
      </w:r>
    </w:p>
    <w:p>
      <w:r>
        <w:t>Next.js 16.4.0 is installed and tested. The production frontend image builds, runs without root privileges, and passes all 42 desktop/mobile browser workflows. The remaining critical dependency findings are cleared. Checks were executed locally before committing; production hosting was not deployed during this review.</w:t>
      </w:r>
    </w:p>
    <w:p>
      <w:pPr>
        <w:pStyle w:val="Heading1"/>
      </w:pPr>
      <w:r>
        <w:t>Implemented changes</w:t>
      </w:r>
    </w:p>
    <w:tbl>
      <w:tblPr>
        <w:tblStyle w:val="LightShading-Accent1"/>
        <w:tblW w:type="auto" w:w="0"/>
        <w:tblLook w:firstColumn="1" w:firstRow="1" w:lastColumn="0" w:lastRow="0" w:noHBand="0" w:noVBand="1" w:val="04A0"/>
      </w:tblPr>
      <w:tblGrid>
        <w:gridCol w:w="5112"/>
        <w:gridCol w:w="5112"/>
      </w:tblGrid>
      <w:tr>
        <w:tc>
          <w:tcPr>
            <w:tcW w:type="dxa" w:w="5112"/>
          </w:tcPr>
          <w:p>
            <w:r>
              <w:t>Area</w:t>
            </w:r>
          </w:p>
        </w:tc>
        <w:tc>
          <w:tcPr>
            <w:tcW w:type="dxa" w:w="5112"/>
          </w:tcPr>
          <w:p>
            <w:r>
              <w:t>Result</w:t>
            </w:r>
          </w:p>
        </w:tc>
      </w:tr>
      <w:tr>
        <w:tc>
          <w:tcPr>
            <w:tcW w:type="dxa" w:w="5112"/>
          </w:tcPr>
          <w:p>
            <w:r>
              <w:t>Web framework</w:t>
            </w:r>
          </w:p>
        </w:tc>
        <w:tc>
          <w:tcPr>
            <w:tcW w:type="dxa" w:w="5112"/>
          </w:tcPr>
          <w:p>
            <w:r>
              <w:t>Next.js and its ESLint config use the 16.4 release line. Better Auth 1.6.33 and Convex SDK 1.46.0 are installed.</w:t>
            </w:r>
          </w:p>
        </w:tc>
      </w:tr>
      <w:tr>
        <w:tc>
          <w:tcPr>
            <w:tcW w:type="dxa" w:w="5112"/>
          </w:tcPr>
          <w:p>
            <w:r>
              <w:t>Repeated work</w:t>
            </w:r>
          </w:p>
        </w:tc>
        <w:tc>
          <w:tcPr>
            <w:tcW w:type="dxa" w:w="5112"/>
          </w:tcPr>
          <w:p>
            <w:r>
              <w:t>Unchanged auth synchronization publishes zero store updates; initial dashboard health requests fall from four to one. Demo Card Explorer reuses the live page.</w:t>
            </w:r>
          </w:p>
        </w:tc>
      </w:tr>
      <w:tr>
        <w:tc>
          <w:tcPr>
            <w:tcW w:type="dxa" w:w="5112"/>
          </w:tcPr>
          <w:p>
            <w:r>
              <w:t>Mobile interface</w:t>
            </w:r>
          </w:p>
        </w:tc>
        <w:tc>
          <w:tcPr>
            <w:tcW w:type="dxa" w:w="5112"/>
          </w:tcPr>
          <w:p>
            <w:r>
              <w:t>Settings and card-result actions fit a 320-pixel viewport. Partial search results show a warning; provider failures do not appear as empty matches.</w:t>
            </w:r>
          </w:p>
        </w:tc>
      </w:tr>
      <w:tr>
        <w:tc>
          <w:tcPr>
            <w:tcW w:type="dxa" w:w="5112"/>
          </w:tcPr>
          <w:p>
            <w:r>
              <w:t>Server reliability</w:t>
            </w:r>
          </w:p>
        </w:tc>
        <w:tc>
          <w:tcPr>
            <w:tcW w:type="dxa" w:w="5112"/>
          </w:tcPr>
          <w:p>
            <w:r>
              <w:t>Scryfall requests identify the app and preserve upstream errors. Logging redacts credentials. Express, compression and Multer retain their patched versions.</w:t>
            </w:r>
          </w:p>
        </w:tc>
      </w:tr>
      <w:tr>
        <w:tc>
          <w:tcPr>
            <w:tcW w:type="dxa" w:w="5112"/>
          </w:tcPr>
          <w:p>
            <w:r>
              <w:t>Scanner/tooling</w:t>
            </w:r>
          </w:p>
        </w:tc>
        <w:tc>
          <w:tcPr>
            <w:tcW w:type="dxa" w:w="5112"/>
          </w:tcPr>
          <w:p>
            <w:r>
              <w:t>Transformers 4.3.1, ONNX Runtime 1.30.0 and Sharp 0.35.5; updated Sharp types. Vitest 4.1.11, convex-test 0.0.60, Jest 30.5.2 and Wrangler 4.148.0.</w:t>
            </w:r>
          </w:p>
        </w:tc>
      </w:tr>
      <w:tr>
        <w:tc>
          <w:tcPr>
            <w:tcW w:type="dxa" w:w="5112"/>
          </w:tcPr>
          <w:p>
            <w:r>
              <w:t>Deployment</w:t>
            </w:r>
          </w:p>
        </w:tc>
        <w:tc>
          <w:tcPr>
            <w:tcW w:type="dxa" w:w="5112"/>
          </w:tcPr>
          <w:p>
            <w:r>
              <w:t>Node 24 recipes; Node 22.12+ minimum. nginx 1.30. Locked workspace installs, standalone frontend output, correct build-time public URLs and dotenv exclusions.</w:t>
            </w:r>
          </w:p>
        </w:tc>
      </w:tr>
      <w:tr>
        <w:tc>
          <w:tcPr>
            <w:tcW w:type="dxa" w:w="5112"/>
          </w:tcPr>
          <w:p>
            <w:r>
              <w:t>Build inputs</w:t>
            </w:r>
          </w:p>
        </w:tc>
        <w:tc>
          <w:tcPr>
            <w:tcW w:type="dxa" w:w="5112"/>
          </w:tcPr>
          <w:p>
            <w:r>
              <w:t>Licensed Inter and Lexend variable fonts are bundled locally, removing the failing Google Fonts build download. Native TensorFlow stays in development tooling.</w:t>
            </w:r>
          </w:p>
        </w:tc>
      </w:tr>
      <w:tr>
        <w:tc>
          <w:tcPr>
            <w:tcW w:type="dxa" w:w="5112"/>
          </w:tcPr>
          <w:p>
            <w:r>
              <w:t>Convex deployer</w:t>
            </w:r>
          </w:p>
        </w:tc>
        <w:tc>
          <w:tcPr>
            <w:tcW w:type="dxa" w:w="5112"/>
          </w:tcPr>
          <w:p>
            <w:r>
              <w:t>The shared API package is now declared, copied and built. The server image is pinned to an immutable digest and tested with disposable backup/restore data.</w:t>
            </w:r>
          </w:p>
        </w:tc>
      </w:tr>
    </w:tbl>
    <w:p>
      <w:r>
        <w:t>Frontend image: approximately 549 MB, runtime UID 1000. Native TensorFlow is absent from that image. Native TensorFlow tooling uses patched tar, ZIP and download-helper dependencies.</w:t>
      </w:r>
    </w:p>
    <w:p>
      <w:r>
        <w:br w:type="page"/>
      </w:r>
    </w:p>
    <w:p>
      <w:pPr>
        <w:pStyle w:val="Heading1"/>
      </w:pPr>
      <w:r>
        <w:t>Verification</w:t>
      </w:r>
    </w:p>
    <w:tbl>
      <w:tblPr>
        <w:tblStyle w:val="LightShading-Accent1"/>
        <w:tblW w:type="auto" w:w="0"/>
        <w:tblLook w:firstColumn="1" w:firstRow="1" w:lastColumn="0" w:lastRow="0" w:noHBand="0" w:noVBand="1" w:val="04A0"/>
      </w:tblPr>
      <w:tblGrid>
        <w:gridCol w:w="5112"/>
        <w:gridCol w:w="5112"/>
      </w:tblGrid>
      <w:tr>
        <w:tc>
          <w:tcPr>
            <w:tcW w:type="dxa" w:w="5112"/>
          </w:tcPr>
          <w:p>
            <w:r>
              <w:t>Check</w:t>
            </w:r>
          </w:p>
        </w:tc>
        <w:tc>
          <w:tcPr>
            <w:tcW w:type="dxa" w:w="5112"/>
          </w:tcPr>
          <w:p>
            <w:r>
              <w:t>Evidence</w:t>
            </w:r>
          </w:p>
        </w:tc>
      </w:tr>
      <w:tr>
        <w:tc>
          <w:tcPr>
            <w:tcW w:type="dxa" w:w="5112"/>
          </w:tcPr>
          <w:p>
            <w:r>
              <w:t>Production frontend</w:t>
            </w:r>
          </w:p>
        </w:tc>
        <w:tc>
          <w:tcPr>
            <w:tcW w:type="dxa" w:w="5112"/>
          </w:tcPr>
          <w:p>
            <w:r>
              <w:t>Successful image build/start; Next.js 16.4.0; UID 1000.</w:t>
            </w:r>
          </w:p>
        </w:tc>
      </w:tr>
      <w:tr>
        <w:tc>
          <w:tcPr>
            <w:tcW w:type="dxa" w:w="5112"/>
          </w:tcPr>
          <w:p>
            <w:r>
              <w:t>Desktop/mobile workflows</w:t>
            </w:r>
          </w:p>
        </w:tc>
        <w:tc>
          <w:tcPr>
            <w:tcW w:type="dxa" w:w="5112"/>
          </w:tcPr>
          <w:p>
            <w:r>
              <w:t>42 passed against the production container, including layout, search, binders, wishlists, imports, grading and scanner review workflows.</w:t>
            </w:r>
          </w:p>
        </w:tc>
      </w:tr>
      <w:tr>
        <w:tc>
          <w:tcPr>
            <w:tcW w:type="dxa" w:w="5112"/>
          </w:tcPr>
          <w:p>
            <w:r>
              <w:t>Frontend unit tests</w:t>
            </w:r>
          </w:p>
        </w:tc>
        <w:tc>
          <w:tcPr>
            <w:tcW w:type="dxa" w:w="5112"/>
          </w:tcPr>
          <w:p>
            <w:r>
              <w:t>184 passed.</w:t>
            </w:r>
          </w:p>
        </w:tc>
      </w:tr>
      <w:tr>
        <w:tc>
          <w:tcPr>
            <w:tcW w:type="dxa" w:w="5112"/>
          </w:tcPr>
          <w:p>
            <w:r>
              <w:t>Backend tests</w:t>
            </w:r>
          </w:p>
        </w:tc>
        <w:tc>
          <w:tcPr>
            <w:tcW w:type="dxa" w:w="5112"/>
          </w:tcPr>
          <w:p>
            <w:r>
              <w:t>270 passed across 51 suites; TypeScript build and Prisma generation passed.</w:t>
            </w:r>
          </w:p>
        </w:tc>
      </w:tr>
      <w:tr>
        <w:tc>
          <w:tcPr>
            <w:tcW w:type="dxa" w:w="5112"/>
          </w:tcPr>
          <w:p>
            <w:r>
              <w:t>Convex tests</w:t>
            </w:r>
          </w:p>
        </w:tc>
        <w:tc>
          <w:tcPr>
            <w:tcW w:type="dxa" w:w="5112"/>
          </w:tcPr>
          <w:p>
            <w:r>
              <w:t>135 passed across 25 files; final shared-dependency manifest type-checks.</w:t>
            </w:r>
          </w:p>
        </w:tc>
      </w:tr>
      <w:tr>
        <w:tc>
          <w:tcPr>
            <w:tcW w:type="dxa" w:w="5112"/>
          </w:tcPr>
          <w:p>
            <w:r>
              <w:t>API contracts</w:t>
            </w:r>
          </w:p>
        </w:tc>
        <w:tc>
          <w:tcPr>
            <w:tcW w:type="dxa" w:w="5112"/>
          </w:tcPr>
          <w:p>
            <w:r>
              <w:t>94 JavaScript API/health-cache checks and 39 Convex HTTP API checks passed.</w:t>
            </w:r>
          </w:p>
        </w:tc>
      </w:tr>
      <w:tr>
        <w:tc>
          <w:tcPr>
            <w:tcW w:type="dxa" w:w="5112"/>
          </w:tcPr>
          <w:p>
            <w:r>
              <w:t>Hosted pricing bundle</w:t>
            </w:r>
          </w:p>
        </w:tc>
        <w:tc>
          <w:tcPr>
            <w:tcW w:type="dxa" w:w="5112"/>
          </w:tcPr>
          <w:p>
            <w:r>
              <w:t>15 Wrangler/Miniflare checks passed, including authentication, quotas and attestation policy.</w:t>
            </w:r>
          </w:p>
        </w:tc>
      </w:tr>
      <w:tr>
        <w:tc>
          <w:tcPr>
            <w:tcW w:type="dxa" w:w="5112"/>
          </w:tcPr>
          <w:p>
            <w:r>
              <w:t>HTTP/session</w:t>
            </w:r>
          </w:p>
        </w:tc>
        <w:tc>
          <w:tcPr>
            <w:tcW w:type="dxa" w:w="5112"/>
          </w:tcPr>
          <w:p>
            <w:r>
              <w:t>Container demo, health rewrite, authenticated session and Android association JSON returned HTTP 200. The existing test session survived the upgrade.</w:t>
            </w:r>
          </w:p>
        </w:tc>
      </w:tr>
      <w:tr>
        <w:tc>
          <w:tcPr>
            <w:tcW w:type="dxa" w:w="5112"/>
          </w:tcPr>
          <w:p>
            <w:r>
              <w:t>nginx gateway</w:t>
            </w:r>
          </w:p>
        </w:tc>
        <w:tc>
          <w:tcPr>
            <w:tcW w:type="dxa" w:w="5112"/>
          </w:tcPr>
          <w:p>
            <w:r>
              <w:t>Configuration passed; the gateway served the container and authenticated API with HTTP 200. Local upstream addresses were used.</w:t>
            </w:r>
          </w:p>
        </w:tc>
      </w:tr>
      <w:tr>
        <w:tc>
          <w:tcPr>
            <w:tcW w:type="dxa" w:w="5112"/>
          </w:tcPr>
          <w:p>
            <w:r>
              <w:t>Scanner runtime</w:t>
            </w:r>
          </w:p>
        </w:tc>
        <w:tc>
          <w:tcPr>
            <w:tcW w:type="dxa" w:w="5112"/>
          </w:tcPr>
          <w:p>
            <w:r>
              <w:t>Real native ONNX CPU and Chromium WASM identity inference, Sharp crop/resize, TensorFlow tensor math and patched tar extraction passed.</w:t>
            </w:r>
          </w:p>
        </w:tc>
      </w:tr>
      <w:tr>
        <w:tc>
          <w:tcPr>
            <w:tcW w:type="dxa" w:w="5112"/>
          </w:tcPr>
          <w:p>
            <w:r>
              <w:t>Convex backup/restore</w:t>
            </w:r>
          </w:p>
        </w:tc>
        <w:tc>
          <w:tcPr>
            <w:tcW w:type="dxa" w:w="5112"/>
          </w:tcPr>
          <w:p>
            <w:r>
              <w:t>An isolated pinned container passed deployment, export/replace-all restore, stable-ID comparison and restart persistence.</w:t>
            </w:r>
          </w:p>
        </w:tc>
      </w:tr>
      <w:tr>
        <w:tc>
          <w:tcPr>
            <w:tcW w:type="dxa" w:w="5112"/>
          </w:tcPr>
          <w:p>
            <w:r>
              <w:t>Build/feature checks</w:t>
            </w:r>
          </w:p>
        </w:tc>
        <w:tc>
          <w:tcPr>
            <w:tcW w:type="dxa" w:w="5112"/>
          </w:tcPr>
          <w:p>
            <w:r>
              <w:t>Frontend, backend and Convex builds passed; 116 features, 115 controls and 44 API interactions validate. Changed frontend files have zero lint errors; existing warnings remain.</w:t>
            </w:r>
          </w:p>
        </w:tc>
      </w:tr>
      <w:tr>
        <w:tc>
          <w:tcPr>
            <w:tcW w:type="dxa" w:w="5112"/>
          </w:tcPr>
          <w:p>
            <w:r>
              <w:t>Static demo / clean install</w:t>
            </w:r>
          </w:p>
        </w:tc>
        <w:tc>
          <w:tcPr>
            <w:tcW w:type="dxa" w:w="5112"/>
          </w:tcPr>
          <w:p>
            <w:r>
              <w:t>Final Next.js 16.4 static export passes with local fonts and the patched dependencies in an isolated source snapshot. Clean scoped npm 11.19.0 ci and the frozen full-install dry run pass.</w:t>
            </w:r>
          </w:p>
        </w:tc>
      </w:tr>
    </w:tbl>
    <w:p>
      <w:r>
        <w:t>Scanner smoke tests do not establish model recognition accuracy, physical camera behavior or GPU compatibility. Chromium phone emulation does not establish native Android or iOS UI parity.</w:t>
      </w:r>
    </w:p>
    <w:p>
      <w:r>
        <w:br w:type="page"/>
      </w:r>
    </w:p>
    <w:p>
      <w:pPr>
        <w:pStyle w:val="Heading1"/>
      </w:pPr>
      <w:r>
        <w:t>Security and remaining checks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Audit scope</w:t>
            </w:r>
          </w:p>
        </w:tc>
        <w:tc>
          <w:tcPr>
            <w:tcW w:type="dxa" w:w="3408"/>
          </w:tcPr>
          <w:p>
            <w:r>
              <w:t>Before this update</w:t>
            </w:r>
          </w:p>
        </w:tc>
        <w:tc>
          <w:tcPr>
            <w:tcW w:type="dxa" w:w="3408"/>
          </w:tcPr>
          <w:p>
            <w:r>
              <w:t>Current</w:t>
            </w:r>
          </w:p>
        </w:tc>
      </w:tr>
      <w:tr>
        <w:tc>
          <w:tcPr>
            <w:tcW w:type="dxa" w:w="3408"/>
          </w:tcPr>
          <w:p>
            <w:r>
              <w:t>Full dependency tree</w:t>
            </w:r>
          </w:p>
        </w:tc>
        <w:tc>
          <w:tcPr>
            <w:tcW w:type="dxa" w:w="3408"/>
          </w:tcPr>
          <w:p>
            <w:r>
              <w:t>77 affected entries; 3 critical</w:t>
            </w:r>
          </w:p>
        </w:tc>
        <w:tc>
          <w:tcPr>
            <w:tcW w:type="dxa" w:w="3408"/>
          </w:tcPr>
          <w:p>
            <w:r>
              <w:t>11 affected entries; 0 critical (7 high, 4 moderate)</w:t>
            </w:r>
          </w:p>
        </w:tc>
      </w:tr>
      <w:tr>
        <w:tc>
          <w:tcPr>
            <w:tcW w:type="dxa" w:w="3408"/>
          </w:tcPr>
          <w:p>
            <w:r>
              <w:t>Production omission audit</w:t>
            </w:r>
          </w:p>
        </w:tc>
        <w:tc>
          <w:tcPr>
            <w:tcW w:type="dxa" w:w="3408"/>
          </w:tcPr>
          <w:p>
            <w:r>
              <w:t>27 affected entries; 3 critical</w:t>
            </w:r>
          </w:p>
        </w:tc>
        <w:tc>
          <w:tcPr>
            <w:tcW w:type="dxa" w:w="3408"/>
          </w:tcPr>
          <w:p>
            <w:r>
              <w:t>3 affected entries; 0 critical/high (3 moderate)</w:t>
            </w:r>
          </w:p>
        </w:tc>
      </w:tr>
    </w:tbl>
    <w:p>
      <w:r>
        <w:t>Current full audit: 11 affected entries — 7 high and 4 moderate, with no critical or low entries. Production omission audit: 3 moderate entries, with no critical, high or low entries. The 11 entries trace to two underlying advisories.</w:t>
      </w:r>
    </w:p>
    <w:p>
      <w:r>
        <w:t>The advisory follow-up fixes Prisma’s deepmerge-ts, PostCSS selector parsing and affected esbuild versions, and replaces the legacy NYC YAML dependency that propagated warnings across Jest. Remaining findings are unpatched braces in development tooling and sprintf-js through TensorFlow’s legacy CLI dependency. The rebuilt frontend passes all 42 browser checks and contains none of these three remaining package directories in its traced server files. npm 11.19.0 is pinned for workspace override compatibility. See the dedicated dependency advisory review for exposure, evidence and follow-up.</w:t>
      </w:r>
    </w:p>
    <w:p>
      <w:pPr>
        <w:pStyle w:val="Heading2"/>
      </w:pPr>
      <w:r>
        <w:t>Still outstanding</w:t>
      </w:r>
    </w:p>
    <w:p>
      <w:pPr>
        <w:pStyle w:val="ListBullet"/>
      </w:pPr>
      <w:r>
        <w:t>Production hosting, public HTTPS endpoints, real-host backups and a production deployment have not been inspected or performed.</w:t>
      </w:r>
    </w:p>
    <w:p>
      <w:pPr>
        <w:pStyle w:val="ListBullet"/>
      </w:pPr>
      <w:r>
        <w:t>Only the frontend production image was fully built and exercised. Complete backend/deployer image builds and full production Compose startup remain to be qualified.</w:t>
      </w:r>
    </w:p>
    <w:p>
      <w:pPr>
        <w:pStyle w:val="ListBullet"/>
      </w:pPr>
      <w:r>
        <w:t>Android’s 44 API interactions passed in the earlier review; native UI remains unverified after software emulation failed to boot without hardware acceleration. iOS execution needs a Mac.</w:t>
      </w:r>
    </w:p>
    <w:p>
      <w:pPr>
        <w:pStyle w:val="ListBullet"/>
      </w:pPr>
      <w:r>
        <w:t>Physical camera, biometric and hosted app-link evidence remains required by the repository release policy. Simulator and contract passes do not replace that evidence.</w:t>
      </w:r>
    </w:p>
    <w:p>
      <w:pPr>
        <w:pStyle w:val="Heading2"/>
      </w:pPr>
      <w:r>
        <w:t>Pinned self-hosted image</w:t>
      </w:r>
    </w:p>
    <w:p>
      <w:r>
        <w:t>ghcr.io/get-convex/convex-backend</w:t>
      </w:r>
    </w:p>
    <w:p>
      <w:r>
        <w:t>sha256:d715e9ec088784407ca4ba2d3db592702cd328d02c76cdca3852c0018f2a76b4</w:t>
      </w:r>
    </w:p>
    <w:p>
      <w:r>
        <w:t>The new CONVEX_BACKEND_IMAGE setting accepts the full image reference. Review public URLs and retained instance secrets before deploying an existing server.</w:t>
      </w:r>
    </w:p>
    <w:p>
      <w:pPr>
        <w:pStyle w:val="Heading2"/>
      </w:pPr>
      <w:r>
        <w:t>Related documents</w:t>
      </w:r>
    </w:p>
    <w:p>
      <w:r>
        <w:t>TCGer-Mobile-and-Desktop-Interface-Review.docx contains the screenshots from the original interface review. Web-Performance-and-Stack-Review.txt contains the detailed implementation and validation notes.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TCGer · Local review · October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46E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