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Topological insulator substrates for robust qubits</w:t>
      </w:r>
    </w:p>
    <w:p>
      <w:pPr>
        <w:pStyle w:val="Heading2"/>
      </w:pPr>
      <w:r>
        <w:t xml:space="preserve">Abstract</w:t>
      </w:r>
    </w:p>
    <w:p>
      <w:r>
        <w:t xml:space="preserve">Topological insulators host symmetry-protected surface states that are robust against disorder, making them promising substrates for fault-tolerant qubits. Here we report reproducible molecular-beam-epitaxy growth of high-quality topological insulator thin films and characterize their surface band structure, demonstrating the clean, gapless Dirac cone required for qubit protection.</w:t>
      </w:r>
    </w:p>
    <w:p>
      <w:pPr>
        <w:pStyle w:val="Heading2"/>
      </w:pPr>
      <w:r>
        <w:t xml:space="preserve">Introduction</w:t>
      </w:r>
    </w:p>
    <w:p>
      <w:r>
        <w:t xml:space="preserve">Topological insulators are a class of quantum materials whose insulating bulk coexists with conducting, spin-momentum-locked surface states ¹,². Their surface states are protected by time-reversal symmetry, suggesting a route to robust quantum information substrates. The characteristic Dirac-cone band structure is sketched in Fig. 1. In this work we focus on reproducible growth and surface characterization.</w:t>
      </w:r>
    </w:p>
    <w:p>
      <w:r>
        <w:t xml:space="preserve">Figure 1. Schematic of the topological surface-state Dirac cone within the bulk band gap.</w:t>
      </w:r>
    </w:p>
    <w:p>
      <w:pPr>
        <w:pStyle w:val="Heading2"/>
      </w:pPr>
      <w:r>
        <w:t xml:space="preserve">Methods</w:t>
      </w:r>
    </w:p>
    <w:p>
      <w:r>
        <w:t xml:space="preserve">Films were grown by molecular-beam epitaxy following our established protocol ³. Growth parameters are summarized in Table 1. Surface band structure was measured by angle-resolved photoemission spectroscopy (ARPES) at 15 K.</w:t>
      </w:r>
    </w:p>
    <w:p>
      <w:r>
        <w:t xml:space="preserve">Table 1. MBE growth parameters: substrate temperature, flux ratio, and growth rate per run.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800"/>
        <w:gridCol w:w="1800"/>
        <w:gridCol w:w="1800"/>
        <w:gridCol w:w="1800"/>
      </w:tblGrid>
      <w:tr>
        <w:tc>
          <w:tcPr>
            <w:gridSpan w:val="1"/>
          </w:tcPr>
          <w:p>
            <w:r>
              <w:t xml:space="preserve">Run</w:t>
            </w:r>
          </w:p>
        </w:tc>
        <w:tc>
          <w:tcPr>
            <w:gridSpan w:val="1"/>
          </w:tcPr>
          <w:p>
            <w:r>
              <w:t xml:space="preserve">Substrate T (°C)</w:t>
            </w:r>
          </w:p>
        </w:tc>
        <w:tc>
          <w:tcPr>
            <w:gridSpan w:val="1"/>
          </w:tcPr>
          <w:p>
            <w:r>
              <w:t xml:space="preserve">Se:Bi flux ratio</w:t>
            </w:r>
          </w:p>
        </w:tc>
        <w:tc>
          <w:tcPr>
            <w:gridSpan w:val="1"/>
          </w:tcPr>
          <w:p>
            <w:r>
              <w:t xml:space="preserve">Rate (nm/min)</w:t>
            </w:r>
          </w:p>
        </w:tc>
      </w:tr>
      <w:tr>
        <w:tc>
          <w:tcPr>
            <w:gridSpan w:val="1"/>
          </w:tcPr>
          <w:p>
            <w:r>
              <w:t xml:space="preserve">A</w:t>
            </w:r>
          </w:p>
        </w:tc>
        <w:tc>
          <w:tcPr>
            <w:gridSpan w:val="1"/>
          </w:tcPr>
          <w:p>
            <w:r>
              <w:t xml:space="preserve">220</w:t>
            </w:r>
          </w:p>
        </w:tc>
        <w:tc>
          <w:tcPr>
            <w:gridSpan w:val="1"/>
          </w:tcPr>
          <w:p>
            <w:r>
              <w:t xml:space="preserve">10:1</w:t>
            </w:r>
          </w:p>
        </w:tc>
        <w:tc>
          <w:tcPr>
            <w:gridSpan w:val="1"/>
          </w:tcPr>
          <w:p>
            <w:r>
              <w:t xml:space="preserve">0.8</w:t>
            </w:r>
          </w:p>
        </w:tc>
      </w:tr>
      <w:tr>
        <w:tc>
          <w:tcPr>
            <w:gridSpan w:val="1"/>
          </w:tcPr>
          <w:p>
            <w:r>
              <w:t xml:space="preserve">B</w:t>
            </w:r>
          </w:p>
        </w:tc>
        <w:tc>
          <w:tcPr>
            <w:gridSpan w:val="1"/>
          </w:tcPr>
          <w:p>
            <w:r>
              <w:t xml:space="preserve">240</w:t>
            </w:r>
          </w:p>
        </w:tc>
        <w:tc>
          <w:tcPr>
            <w:gridSpan w:val="1"/>
          </w:tcPr>
          <w:p>
            <w:r>
              <w:t xml:space="preserve">8:1</w:t>
            </w:r>
          </w:p>
        </w:tc>
        <w:tc>
          <w:tcPr>
            <w:gridSpan w:val="1"/>
          </w:tcPr>
          <w:p>
            <w:r>
              <w:t xml:space="preserve">1.1</w:t>
            </w:r>
          </w:p>
        </w:tc>
      </w:tr>
      <w:tr>
        <w:tc>
          <w:tcPr>
            <w:gridSpan w:val="1"/>
          </w:tcPr>
          <w:p>
            <w:r>
              <w:t xml:space="preserve">C</w:t>
            </w:r>
          </w:p>
        </w:tc>
        <w:tc>
          <w:tcPr>
            <w:gridSpan w:val="1"/>
          </w:tcPr>
          <w:p>
            <w:r>
              <w:t xml:space="preserve">200</w:t>
            </w:r>
          </w:p>
        </w:tc>
        <w:tc>
          <w:tcPr>
            <w:gridSpan w:val="1"/>
          </w:tcPr>
          <w:p>
            <w:r>
              <w:t xml:space="preserve">12:1</w:t>
            </w:r>
          </w:p>
        </w:tc>
        <w:tc>
          <w:tcPr>
            <w:gridSpan w:val="1"/>
          </w:tcPr>
          <w:p>
            <w:r>
              <w:t xml:space="preserve">0.6</w:t>
            </w:r>
          </w:p>
        </w:tc>
      </w:tr>
    </w:tbl>
    <w:p>
      <w:pPr>
        <w:pStyle w:val="Heading2"/>
      </w:pPr>
      <w:r>
        <w:t xml:space="preserve">Results</w:t>
      </w:r>
    </w:p>
    <w:p>
      <w:r>
        <w:t xml:space="preserve">ARPES reveals a single, sharp Dirac cone at the Γ point (Fig. 2), consistent with a topologically protected surface state and in agreement with prior reports on three-dimensional topological insulators ⁴. The Dirac point sits within the bulk gap, indicating well-controlled bulk doping.</w:t>
      </w:r>
    </w:p>
    <w:p>
      <w:r>
        <w:t xml:space="preserve">Figure 2. ARPES intensity map showing a single sharp Dirac cone at the Γ point.</w:t>
      </w:r>
    </w:p>
    <w:p>
      <w:pPr>
        <w:pStyle w:val="Heading2"/>
      </w:pPr>
      <w:r>
        <w:t xml:space="preserve">Discussion</w:t>
      </w:r>
    </w:p>
    <w:p>
      <w:r>
        <w:t xml:space="preserve">The reproducibility of the gapless surface state across growth runs is the key result for qubit applications ⁵. Future work will pattern these films into device geometries and probe coherence.</w:t>
      </w:r>
    </w:p>
    <w:p>
      <w:pPr>
        <w:pStyle w:val="Heading2"/>
      </w:pPr>
      <w:r>
        <w:t xml:space="preserve">Data availability</w:t>
      </w:r>
    </w:p>
    <w:p>
      <w:r>
        <w:t xml:space="preserve">The ARPES and transport datasets are available in the lab repository and are catalogued under the project’s datasets.</w:t>
      </w:r>
    </w:p>
    <w:p>
      <w:pPr>
        <w:pStyle w:val="Heading2"/>
      </w:pPr>
      <w:r>
        <w:t xml:space="preserve">References</w:t>
      </w:r>
    </w:p>
    <w:p>
      <w:r>
        <w:t xml:space="preserve">1. Hasan, M. Z.; Kane, C. L. (2010). Colloquium: Topological insulators. Reviews of Modern Physics, 82, 3045–3067. https://doi.org/10.1103/RevModPhys.82.3045</w:t>
      </w:r>
    </w:p>
    <w:p>
      <w:r>
        <w:t xml:space="preserve">2. Qi, X.-L.; Zhang, S.-C. (2011). Topological insulators and superconductors. Reviews of Modern Physics, 83, 1057–1110. https://doi.org/10.1103/RevModPhys.83.1057</w:t>
      </w:r>
    </w:p>
    <w:p>
      <w:r>
        <w:t xml:space="preserve">3. Reyes, S.; Okafor, M. (2025). Reproducible MBE growth of topological insulator thin films. arXiv. https://doi.org/10.48550/arXiv.2505.00000</w:t>
      </w:r>
    </w:p>
    <w:p>
      <w:r>
        <w:t xml:space="preserve">4. Chen, Y. L.; et al. (2009). Experimental realization of a three-dimensional topological insulator. Science, 325, 178–181. https://doi.org/10.1126/science.1173034</w:t>
      </w:r>
    </w:p>
    <w:p>
      <w:r>
        <w:t xml:space="preserve">5. Moore, J. E. (2010). The birth of topological insulators. Nature, 464, 194–198. https://doi.org/10.1038/nature08916</w:t>
      </w:r>
    </w:p>
    <w:p>
      <w:pPr>
        <w:pStyle w:val="Heading1"/>
      </w:pPr>
      <w:r>
        <w:t xml:space="preserve">Supplementary Material</w:t>
      </w:r>
    </w:p>
    <w:p>
      <w:pPr>
        <w:pStyle w:val="Heading2"/>
      </w:pPr>
      <w:r>
        <w:t xml:space="preserve">Supplementary methods</w:t>
      </w:r>
    </w:p>
    <w:p>
      <w:r>
        <w:t xml:space="preserve">Extended X-ray diffraction characterization of film crystallinity is shown in Fig. S1. Substrate temperature and flux ratios were logged for every run.</w:t>
      </w:r>
    </w:p>
    <w:p>
      <w:r>
        <w:t xml:space="preserve">Figure S1. X-ray diffraction confirming single-phase, c-axis-oriented films.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1aaff053-65b1-a0b7-fc53-84e50c8bfba2}"/>
  </w:font>
  <w:font w:name="GeistMono">
    <w:family w:val="auto"/>
    <w:pitch w:val="variable"/>
    <w:sig w:usb0="E0002AFF" w:usb1="C000247B" w:usb2="00000009" w:usb3="00000000" w:csb0="000001FF" w:csb1="00000000"/>
    <w:embedRegular r:id="rId2" w:fontKey="{957ee981-ef2b-91bd-083d-40b12cd1ede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  <w:lvl w:ilvl="4" w15:tentative="1">
      <w:start w:val="1"/>
      <w:numFmt w:val="decimal"/>
      <w:lvlText w:val="%5."/>
      <w:lvlJc w:val="left"/>
      <w:pPr>
        <w:ind w:left="1800" w:hanging="360"/>
      </w:pPr>
    </w:lvl>
    <w:lvl w:ilvl="5" w15:tentative="1">
      <w:start w:val="1"/>
      <w:numFmt w:val="decimal"/>
      <w:lvlText w:val="%6."/>
      <w:lvlJc w:val="left"/>
      <w:pPr>
        <w:ind w:left="2160" w:hanging="360"/>
      </w:pPr>
    </w:lvl>
    <w:lvl w:ilvl="6" w15:tentative="1">
      <w:start w:val="1"/>
      <w:numFmt w:val="decimal"/>
      <w:lvlText w:val="%7."/>
      <w:lvlJc w:val="left"/>
      <w:pPr>
        <w:ind w:left="2520" w:hanging="360"/>
      </w:pPr>
    </w:lvl>
    <w:lvl w:ilvl="7" w15:tentative="1">
      <w:start w:val="1"/>
      <w:numFmt w:val="decimal"/>
      <w:lvlText w:val="%8."/>
      <w:lvlJc w:val="left"/>
      <w:pPr>
        <w:ind w:left="288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•"/>
      <w:lvlJc w:val="left"/>
      <w:pPr>
        <w:ind w:left="720" w:hanging="360"/>
      </w:pPr>
    </w:lvl>
    <w:lvl w:ilvl="2" w15:tentative="1">
      <w:start w:val="1"/>
      <w:numFmt w:val="bullet"/>
      <w:lvlText w:val="•"/>
      <w:lvlJc w:val="left"/>
      <w:pPr>
        <w:ind w:left="1080" w:hanging="360"/>
      </w:pPr>
    </w:lvl>
    <w:lvl w:ilvl="3" w15:tentative="1">
      <w:start w:val="1"/>
      <w:numFmt w:val="bullet"/>
      <w:lvlText w:val="•"/>
      <w:lvlJc w:val="left"/>
      <w:pPr>
        <w:ind w:left="1440" w:hanging="360"/>
      </w:pPr>
    </w:lvl>
    <w:lvl w:ilvl="4" w15:tentative="1">
      <w:start w:val="1"/>
      <w:numFmt w:val="bullet"/>
      <w:lvlText w:val="•"/>
      <w:lvlJc w:val="left"/>
      <w:pPr>
        <w:ind w:left="1800" w:hanging="360"/>
      </w:pPr>
    </w:lvl>
    <w:lvl w:ilvl="5" w15:tentative="1">
      <w:start w:val="1"/>
      <w:numFmt w:val="bullet"/>
      <w:lvlText w:val="•"/>
      <w:lvlJc w:val="left"/>
      <w:pPr>
        <w:ind w:left="2160" w:hanging="360"/>
      </w:pPr>
    </w:lvl>
    <w:lvl w:ilvl="6" w15:tentative="1">
      <w:start w:val="1"/>
      <w:numFmt w:val="bullet"/>
      <w:lvlText w:val="•"/>
      <w:lvlJc w:val="left"/>
      <w:pPr>
        <w:ind w:left="2520" w:hanging="360"/>
      </w:pPr>
    </w:lvl>
    <w:lvl w:ilvl="7" w15:tentative="1">
      <w:start w:val="1"/>
      <w:numFmt w:val="bullet"/>
      <w:lvlText w:val="•"/>
      <w:lvlJc w:val="left"/>
      <w:pPr>
        <w:ind w:left="2880" w:hanging="360"/>
      </w:pPr>
    </w:lvl>
    <w:lvl w:ilvl="8" w15:tentative="1">
      <w:start w:val="1"/>
      <w:numFmt w:val="bullet"/>
      <w:lvlText w:val="•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defaultTabStop w:val="200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B8"/>
    <w:pPr>
      <w:adjustRightInd w:val="0"/>
      <w:spacing w:before="45" w:after="45" w:line="360" w:lineRule="auto"/>
    </w:pPr>
    <w:rPr>
      <w:rFonts w:ascii="Inter" w:cs="Inter" w:eastAsia="Inter" w:hAnsi="Inter"/>
    </w:rPr>
  </w:style>
  <w:style w:type="paragraph" w:styleId="Heading1">
    <w:name w:val="heading 1"/>
    <w:basedOn w:val="Normal"/>
    <w:next w:val="Normal"/>
    <w:link w:val="Heading1Char"/>
    <w:uiPriority w:val="9"/>
    <w:rsid w:val="00D078F7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B06B8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B8"/>
    <w:p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character" w:customStyle="1" w:styleId="VerbatimChar">
    <w:name w:val="Verbatim Char"/>
    <w:basedOn w:val="DefaultParagraphFont"/>
    <w:rPr>
      <w:rFonts w:ascii="GeistMono" w:cs="GeistMono" w:eastAsia="GeistMono" w:hAnsi="GeistMono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F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5B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863"/>
    <w:rPr>
      <w:color w:val="0000E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86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4863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SourceCode">
    <w:name w:val="Source Code"/>
    <w:basedOn w:val="Normal"/>
    <w:link w:val="VerbatimChar"/>
    <w:pPr>
      <w:shd w:val="solid" w:color="161616" w:fill="161616"/>
    </w:pPr>
    <w:rPr>
      <w:noProof/>
      <w:wordWrap w:val="off"/>
      <w:color w:val="ffffff"/>
      <w:rFonts w:ascii="GeistMono" w:cs="GeistMono" w:eastAsia="GeistMono" w:hAnsi="GeistMono"/>
    </w:rPr>
  </w:style>
  <w:style w:type="paragraph" w:styleId="BlockQuote">
    <w:name w:val="Block Quote"/>
    <w:basedOn w:val="Normal"/>
    <w:next w:val="Normal"/>
    <w:uiPriority w:val="9"/>
    <w:unhideWhenUsed/>
    <w:qFormat/>
    <w:pPr>
      <w:pBdr>
        <w:left w:val="single" w:color="7D797A" w:sz="8" w:space="100"/>
      </w:pBdr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Inter.odttf"/><Relationship Id="rId2" Type="http://schemas.openxmlformats.org/officeDocument/2006/relationships/font" Target="fonts/GeistMono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2026-06-30T15:17:18.163Z</dcterms:created>
  <dcterms:modified xsi:type="dcterms:W3CDTF">2026-06-30T15:17:18.163Z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