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pPr>
      <w:r>
        <w:rPr>
          <w:rFonts w:ascii="Arial" w:cs="Arial" w:eastAsia="Arial" w:hAnsi="Arial"/>
          <w:b/>
          <w:bCs/>
          <w:color w:val="00AECF"/>
          <w:spacing w:val="32"/>
          <w:sz w:val="15"/>
          <w:szCs w:val="15"/>
        </w:rPr>
        <w:t xml:space="preserve">PRIVATE RAISE  ·  MASTER OVERVIEW  ·  CONFIDENTIAL</w:t>
      </w:r>
    </w:p>
    <w:p>
      <w:pPr>
        <w:spacing w:after="80"/>
      </w:pPr>
      <w:r>
        <w:rPr>
          <w:rFonts w:ascii="Arial" w:cs="Arial" w:eastAsia="Arial" w:hAnsi="Arial"/>
          <w:b/>
          <w:bCs/>
          <w:color w:val="040507"/>
          <w:spacing w:val="10"/>
          <w:sz w:val="52"/>
          <w:szCs w:val="52"/>
        </w:rPr>
        <w:t xml:space="preserve">OFFERING PACKAGE.</w:t>
      </w:r>
    </w:p>
    <w:p>
      <w:pPr>
        <w:spacing w:after="140" w:line="276"/>
      </w:pPr>
      <w:r>
        <w:rPr>
          <w:rFonts w:ascii="Arial" w:cs="Arial" w:eastAsia="Arial" w:hAnsi="Arial"/>
          <w:i/>
          <w:iCs/>
          <w:color w:val="6B7280"/>
          <w:sz w:val="19"/>
          <w:szCs w:val="19"/>
        </w:rPr>
        <w:t xml:space="preserve">The Private Raise — Music Habitat’s accredited investor round under Rule 506(c) of Regulation D. Offered on terms aligned with the founder’s own, to verified accredited investors only. General solicitation permitted; sales limited to investors whose accredited status has been verified under Rule 501.</w:t>
      </w:r>
    </w:p>
    <w:p>
      <w:pP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ENTITY</w:t>
            </w:r>
          </w:p>
          <w:p>
            <w:r>
              <w:rPr>
                <w:rFonts w:ascii="Arial" w:cs="Arial" w:eastAsia="Arial" w:hAnsi="Arial"/>
                <w:b/>
                <w:bCs/>
                <w:color w:val="040507"/>
                <w:sz w:val="21"/>
                <w:szCs w:val="21"/>
              </w:rPr>
              <w:t xml:space="preserve">Music Habitat, Inc.</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SECURITY</w:t>
            </w:r>
          </w:p>
          <w:p>
            <w:r>
              <w:rPr>
                <w:rFonts w:ascii="Arial" w:cs="Arial" w:eastAsia="Arial" w:hAnsi="Arial"/>
                <w:b/>
                <w:bCs/>
                <w:color w:val="040507"/>
                <w:sz w:val="21"/>
                <w:szCs w:val="21"/>
              </w:rPr>
              <w:t xml:space="preserve">SAFE → Class B Preferred (by tier)</w:t>
            </w:r>
          </w:p>
        </w:tc>
      </w:tr>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PRE-MONEY CAP</w:t>
            </w:r>
          </w:p>
          <w:p>
            <w:r>
              <w:rPr>
                <w:rFonts w:ascii="Arial" w:cs="Arial" w:eastAsia="Arial" w:hAnsi="Arial"/>
                <w:b/>
                <w:bCs/>
                <w:color w:val="040507"/>
                <w:sz w:val="21"/>
                <w:szCs w:val="21"/>
              </w:rPr>
              <w:t xml:space="preserve">$12,500,000</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SHARES DECLARED</w:t>
            </w:r>
          </w:p>
          <w:p>
            <w:r>
              <w:rPr>
                <w:rFonts w:ascii="Arial" w:cs="Arial" w:eastAsia="Arial" w:hAnsi="Arial"/>
                <w:b/>
                <w:bCs/>
                <w:color w:val="040507"/>
                <w:sz w:val="21"/>
                <w:szCs w:val="21"/>
              </w:rPr>
              <w:t xml:space="preserve">10,000,000 · $1.25 / share</w:t>
            </w:r>
          </w:p>
        </w:tc>
      </w:tr>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INVESTMENT RANGE</w:t>
            </w:r>
          </w:p>
          <w:p>
            <w:r>
              <w:rPr>
                <w:rFonts w:ascii="Arial" w:cs="Arial" w:eastAsia="Arial" w:hAnsi="Arial"/>
                <w:b/>
                <w:bCs/>
                <w:color w:val="040507"/>
                <w:sz w:val="21"/>
                <w:szCs w:val="21"/>
              </w:rPr>
              <w:t xml:space="preserve">$2,500 – By allocation</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AGGREGATE TARGET</w:t>
            </w:r>
          </w:p>
          <w:p>
            <w:r>
              <w:rPr>
                <w:rFonts w:ascii="Arial" w:cs="Arial" w:eastAsia="Arial" w:hAnsi="Arial"/>
                <w:b/>
                <w:bCs/>
                <w:color w:val="040507"/>
                <w:sz w:val="21"/>
                <w:szCs w:val="21"/>
              </w:rPr>
              <w:t xml:space="preserve">$750,000</w:t>
            </w:r>
          </w:p>
        </w:tc>
      </w:tr>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DISCOUNT</w:t>
            </w:r>
          </w:p>
          <w:p>
            <w:r>
              <w:rPr>
                <w:rFonts w:ascii="Arial" w:cs="Arial" w:eastAsia="Arial" w:hAnsi="Arial"/>
                <w:b/>
                <w:bCs/>
                <w:color w:val="040507"/>
                <w:sz w:val="21"/>
                <w:szCs w:val="21"/>
              </w:rPr>
              <w:t xml:space="preserve">5% (95% of next round)</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WARRANT COVERAGE</w:t>
            </w:r>
          </w:p>
          <w:p>
            <w:r>
              <w:rPr>
                <w:rFonts w:ascii="Arial" w:cs="Arial" w:eastAsia="Arial" w:hAnsi="Arial"/>
                <w:b/>
                <w:bCs/>
                <w:color w:val="040507"/>
                <w:sz w:val="21"/>
                <w:szCs w:val="21"/>
              </w:rPr>
              <w:t xml:space="preserve">2× / 95% FMV / 9 mo</w:t>
            </w:r>
          </w:p>
        </w:tc>
      </w:tr>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EXEMPTION</w:t>
            </w:r>
          </w:p>
          <w:p>
            <w:r>
              <w:rPr>
                <w:rFonts w:ascii="Arial" w:cs="Arial" w:eastAsia="Arial" w:hAnsi="Arial"/>
                <w:b/>
                <w:bCs/>
                <w:color w:val="040507"/>
                <w:sz w:val="21"/>
                <w:szCs w:val="21"/>
              </w:rPr>
              <w:t xml:space="preserve">Rule 506(c) Regulation D</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GOVERNING LAW</w:t>
            </w:r>
          </w:p>
          <w:p>
            <w:r>
              <w:rPr>
                <w:rFonts w:ascii="Arial" w:cs="Arial" w:eastAsia="Arial" w:hAnsi="Arial"/>
                <w:b/>
                <w:bCs/>
                <w:color w:val="040507"/>
                <w:sz w:val="21"/>
                <w:szCs w:val="21"/>
              </w:rPr>
              <w:t xml:space="preserve">Montana · AAA Missoula</w:t>
            </w:r>
          </w:p>
        </w:tc>
      </w:tr>
    </w:tbl>
    <w:p>
      <w:pPr>
        <w:spacing w:after="40" w:before="240"/>
      </w:pPr>
      <w:r>
        <w:rPr>
          <w:rFonts w:ascii="Arial" w:cs="Arial" w:eastAsia="Arial" w:hAnsi="Arial"/>
          <w:b/>
          <w:bCs/>
          <w:color w:val="00AECF"/>
          <w:spacing w:val="40"/>
          <w:sz w:val="15"/>
          <w:szCs w:val="15"/>
        </w:rPr>
        <w:t xml:space="preserve">CONTENTS</w:t>
      </w:r>
    </w:p>
    <w:p>
      <w:pPr>
        <w:tabs>
          <w:tab w:val="left" w:pos="700"/>
          <w:tab w:val="right" w:pos="10080" w:leader="dot"/>
        </w:tabs>
        <w:spacing w:after="60"/>
      </w:pPr>
      <w:r>
        <w:rPr>
          <w:rFonts w:ascii="Arial" w:cs="Arial" w:eastAsia="Arial" w:hAnsi="Arial"/>
          <w:b/>
          <w:bCs/>
          <w:i/>
          <w:iCs/>
          <w:color w:val="00AECF"/>
          <w:sz w:val="19"/>
          <w:szCs w:val="19"/>
        </w:rPr>
        <w:t xml:space="preserve">I</w:t>
      </w:r>
      <w:r>
        <w:rPr>
          <w:rFonts w:ascii="Arial" w:cs="Arial" w:eastAsia="Arial" w:hAnsi="Arial"/>
          <w:color w:val="040507"/>
          <w:sz w:val="20"/>
          <w:szCs w:val="20"/>
        </w:rPr>
        <w:t xml:space="preserve">	Letter from the Founder</w:t>
      </w:r>
      <w:r>
        <w:rPr>
          <w:rFonts w:ascii="Arial" w:cs="Arial" w:eastAsia="Arial" w:hAnsi="Arial"/>
          <w:color w:val="6B7280"/>
          <w:sz w:val="19"/>
          <w:szCs w:val="19"/>
        </w:rPr>
        <w:t xml:space="preserve">	02</w:t>
      </w:r>
    </w:p>
    <w:p>
      <w:pPr>
        <w:tabs>
          <w:tab w:val="left" w:pos="700"/>
          <w:tab w:val="right" w:pos="10080" w:leader="dot"/>
        </w:tabs>
        <w:spacing w:after="60"/>
      </w:pPr>
      <w:r>
        <w:rPr>
          <w:rFonts w:ascii="Arial" w:cs="Arial" w:eastAsia="Arial" w:hAnsi="Arial"/>
          <w:b/>
          <w:bCs/>
          <w:i/>
          <w:iCs/>
          <w:color w:val="00AECF"/>
          <w:sz w:val="19"/>
          <w:szCs w:val="19"/>
        </w:rPr>
        <w:t xml:space="preserve">II</w:t>
      </w:r>
      <w:r>
        <w:rPr>
          <w:rFonts w:ascii="Arial" w:cs="Arial" w:eastAsia="Arial" w:hAnsi="Arial"/>
          <w:color w:val="040507"/>
          <w:sz w:val="20"/>
          <w:szCs w:val="20"/>
        </w:rPr>
        <w:t xml:space="preserve">	The Opportunity</w:t>
      </w:r>
      <w:r>
        <w:rPr>
          <w:rFonts w:ascii="Arial" w:cs="Arial" w:eastAsia="Arial" w:hAnsi="Arial"/>
          <w:color w:val="6B7280"/>
          <w:sz w:val="19"/>
          <w:szCs w:val="19"/>
        </w:rPr>
        <w:t xml:space="preserve">	03</w:t>
      </w:r>
    </w:p>
    <w:p>
      <w:pPr>
        <w:tabs>
          <w:tab w:val="left" w:pos="700"/>
          <w:tab w:val="right" w:pos="10080" w:leader="dot"/>
        </w:tabs>
        <w:spacing w:after="60"/>
      </w:pPr>
      <w:r>
        <w:rPr>
          <w:rFonts w:ascii="Arial" w:cs="Arial" w:eastAsia="Arial" w:hAnsi="Arial"/>
          <w:b/>
          <w:bCs/>
          <w:i/>
          <w:iCs/>
          <w:color w:val="00AECF"/>
          <w:sz w:val="19"/>
          <w:szCs w:val="19"/>
        </w:rPr>
        <w:t xml:space="preserve">III</w:t>
      </w:r>
      <w:r>
        <w:rPr>
          <w:rFonts w:ascii="Arial" w:cs="Arial" w:eastAsia="Arial" w:hAnsi="Arial"/>
          <w:color w:val="040507"/>
          <w:sz w:val="20"/>
          <w:szCs w:val="20"/>
        </w:rPr>
        <w:t xml:space="preserve">	Terms of the Offering</w:t>
      </w:r>
      <w:r>
        <w:rPr>
          <w:rFonts w:ascii="Arial" w:cs="Arial" w:eastAsia="Arial" w:hAnsi="Arial"/>
          <w:color w:val="6B7280"/>
          <w:sz w:val="19"/>
          <w:szCs w:val="19"/>
        </w:rPr>
        <w:t xml:space="preserve">	04</w:t>
      </w:r>
    </w:p>
    <w:p>
      <w:pPr>
        <w:tabs>
          <w:tab w:val="left" w:pos="700"/>
          <w:tab w:val="right" w:pos="10080" w:leader="dot"/>
        </w:tabs>
        <w:spacing w:after="60"/>
      </w:pPr>
      <w:r>
        <w:rPr>
          <w:rFonts w:ascii="Arial" w:cs="Arial" w:eastAsia="Arial" w:hAnsi="Arial"/>
          <w:b/>
          <w:bCs/>
          <w:i/>
          <w:iCs/>
          <w:color w:val="00AECF"/>
          <w:sz w:val="19"/>
          <w:szCs w:val="19"/>
        </w:rPr>
        <w:t xml:space="preserve">IV</w:t>
      </w:r>
      <w:r>
        <w:rPr>
          <w:rFonts w:ascii="Arial" w:cs="Arial" w:eastAsia="Arial" w:hAnsi="Arial"/>
          <w:color w:val="040507"/>
          <w:sz w:val="20"/>
          <w:szCs w:val="20"/>
        </w:rPr>
        <w:t xml:space="preserve">	Tier Structure</w:t>
      </w:r>
      <w:r>
        <w:rPr>
          <w:rFonts w:ascii="Arial" w:cs="Arial" w:eastAsia="Arial" w:hAnsi="Arial"/>
          <w:color w:val="6B7280"/>
          <w:sz w:val="19"/>
          <w:szCs w:val="19"/>
        </w:rPr>
        <w:t xml:space="preserve">	05</w:t>
      </w:r>
    </w:p>
    <w:p>
      <w:pPr>
        <w:tabs>
          <w:tab w:val="left" w:pos="700"/>
          <w:tab w:val="right" w:pos="10080" w:leader="dot"/>
        </w:tabs>
        <w:spacing w:after="60"/>
      </w:pPr>
      <w:r>
        <w:rPr>
          <w:rFonts w:ascii="Arial" w:cs="Arial" w:eastAsia="Arial" w:hAnsi="Arial"/>
          <w:b/>
          <w:bCs/>
          <w:i/>
          <w:iCs/>
          <w:color w:val="00AECF"/>
          <w:sz w:val="19"/>
          <w:szCs w:val="19"/>
        </w:rPr>
        <w:t xml:space="preserve">V</w:t>
      </w:r>
      <w:r>
        <w:rPr>
          <w:rFonts w:ascii="Arial" w:cs="Arial" w:eastAsia="Arial" w:hAnsi="Arial"/>
          <w:color w:val="040507"/>
          <w:sz w:val="20"/>
          <w:szCs w:val="20"/>
        </w:rPr>
        <w:t xml:space="preserve">	Risk Factors</w:t>
      </w:r>
      <w:r>
        <w:rPr>
          <w:rFonts w:ascii="Arial" w:cs="Arial" w:eastAsia="Arial" w:hAnsi="Arial"/>
          <w:color w:val="6B7280"/>
          <w:sz w:val="19"/>
          <w:szCs w:val="19"/>
        </w:rPr>
        <w:t xml:space="preserve">	06</w:t>
      </w:r>
    </w:p>
    <w:p>
      <w:pPr>
        <w:tabs>
          <w:tab w:val="left" w:pos="700"/>
          <w:tab w:val="right" w:pos="10080" w:leader="dot"/>
        </w:tabs>
        <w:spacing w:after="60"/>
      </w:pPr>
      <w:r>
        <w:rPr>
          <w:rFonts w:ascii="Arial" w:cs="Arial" w:eastAsia="Arial" w:hAnsi="Arial"/>
          <w:b/>
          <w:bCs/>
          <w:i/>
          <w:iCs/>
          <w:color w:val="00AECF"/>
          <w:sz w:val="19"/>
          <w:szCs w:val="19"/>
        </w:rPr>
        <w:t xml:space="preserve">VI</w:t>
      </w:r>
      <w:r>
        <w:rPr>
          <w:rFonts w:ascii="Arial" w:cs="Arial" w:eastAsia="Arial" w:hAnsi="Arial"/>
          <w:color w:val="040507"/>
          <w:sz w:val="20"/>
          <w:szCs w:val="20"/>
        </w:rPr>
        <w:t xml:space="preserve">	Documents in This Package</w:t>
      </w:r>
      <w:r>
        <w:rPr>
          <w:rFonts w:ascii="Arial" w:cs="Arial" w:eastAsia="Arial" w:hAnsi="Arial"/>
          <w:color w:val="6B7280"/>
          <w:sz w:val="19"/>
          <w:szCs w:val="19"/>
        </w:rPr>
        <w:t xml:space="preserve">	07</w:t>
      </w:r>
    </w:p>
    <w:p>
      <w:pPr>
        <w:tabs>
          <w:tab w:val="left" w:pos="700"/>
          <w:tab w:val="right" w:pos="10080" w:leader="dot"/>
        </w:tabs>
        <w:spacing w:after="60"/>
      </w:pPr>
      <w:r>
        <w:rPr>
          <w:rFonts w:ascii="Arial" w:cs="Arial" w:eastAsia="Arial" w:hAnsi="Arial"/>
          <w:b/>
          <w:bCs/>
          <w:i/>
          <w:iCs/>
          <w:color w:val="00AECF"/>
          <w:sz w:val="19"/>
          <w:szCs w:val="19"/>
        </w:rPr>
        <w:t xml:space="preserve">VII</w:t>
      </w:r>
      <w:r>
        <w:rPr>
          <w:rFonts w:ascii="Arial" w:cs="Arial" w:eastAsia="Arial" w:hAnsi="Arial"/>
          <w:color w:val="040507"/>
          <w:sz w:val="20"/>
          <w:szCs w:val="20"/>
        </w:rPr>
        <w:t xml:space="preserve">	Eligibility &amp; Subscription</w:t>
      </w:r>
      <w:r>
        <w:rPr>
          <w:rFonts w:ascii="Arial" w:cs="Arial" w:eastAsia="Arial" w:hAnsi="Arial"/>
          <w:color w:val="6B7280"/>
          <w:sz w:val="19"/>
          <w:szCs w:val="19"/>
        </w:rPr>
        <w:t xml:space="preserve">	08</w:t>
      </w:r>
    </w:p>
    <w:p>
      <w:pPr>
        <w:tabs>
          <w:tab w:val="left" w:pos="700"/>
          <w:tab w:val="right" w:pos="10080" w:leader="dot"/>
        </w:tabs>
        <w:spacing w:after="60"/>
      </w:pPr>
      <w:r>
        <w:rPr>
          <w:rFonts w:ascii="Arial" w:cs="Arial" w:eastAsia="Arial" w:hAnsi="Arial"/>
          <w:b/>
          <w:bCs/>
          <w:i/>
          <w:iCs/>
          <w:color w:val="00AECF"/>
          <w:sz w:val="19"/>
          <w:szCs w:val="19"/>
        </w:rPr>
        <w:t xml:space="preserve">VIII</w:t>
      </w:r>
      <w:r>
        <w:rPr>
          <w:rFonts w:ascii="Arial" w:cs="Arial" w:eastAsia="Arial" w:hAnsi="Arial"/>
          <w:color w:val="040507"/>
          <w:sz w:val="20"/>
          <w:szCs w:val="20"/>
        </w:rPr>
        <w:t xml:space="preserve">	Governing Law &amp; Arbitration</w:t>
      </w:r>
      <w:r>
        <w:rPr>
          <w:rFonts w:ascii="Arial" w:cs="Arial" w:eastAsia="Arial" w:hAnsi="Arial"/>
          <w:color w:val="6B7280"/>
          <w:sz w:val="19"/>
          <w:szCs w:val="19"/>
        </w:rPr>
        <w:t xml:space="preserve">	09</w:t>
      </w:r>
    </w:p>
    <w:p>
      <w:pPr>
        <w:tabs>
          <w:tab w:val="right" w:pos="10080"/>
        </w:tabs>
        <w:spacing w:before="200"/>
      </w:pPr>
      <w:r>
        <w:rPr>
          <w:rFonts w:ascii="Arial" w:cs="Arial" w:eastAsia="Arial" w:hAnsi="Arial"/>
          <w:b/>
          <w:bCs/>
          <w:color w:val="040507"/>
          <w:spacing w:val="20"/>
          <w:sz w:val="14"/>
          <w:szCs w:val="14"/>
        </w:rPr>
        <w:t xml:space="preserve">DRAFTED: JUNE 2026</w:t>
      </w:r>
      <w:r>
        <w:rPr>
          <w:rFonts w:ascii="Arial" w:cs="Arial" w:eastAsia="Arial" w:hAnsi="Arial"/>
          <w:color w:val="6B7280"/>
          <w:spacing w:val="15"/>
          <w:sz w:val="13"/>
          <w:szCs w:val="13"/>
        </w:rPr>
        <w:t xml:space="preserve">	CONFIDENTIAL &amp; PROPRIETARY — NOT FOR DISTRIBUTION</w:t>
      </w:r>
    </w:p>
    <w:p>
      <w:r>
        <w:br w:type="page"/>
      </w:r>
    </w:p>
    <w:p>
      <w:pPr>
        <w:spacing w:after="60" w:before="300"/>
      </w:pPr>
      <w:r>
        <w:rPr>
          <w:rFonts w:ascii="Arial" w:cs="Arial" w:eastAsia="Arial" w:hAnsi="Arial"/>
          <w:b/>
          <w:bCs/>
          <w:color w:val="6B7280"/>
          <w:spacing w:val="50"/>
          <w:sz w:val="15"/>
          <w:szCs w:val="15"/>
        </w:rPr>
        <w:t xml:space="preserve">ARTICLE  I</w:t>
      </w:r>
    </w:p>
    <w:p>
      <w:pPr>
        <w:pBdr>
          <w:bottom w:val="single" w:color="D9DEE3" w:sz="4" w:space="2"/>
        </w:pBdr>
        <w:spacing w:after="80" w:before="220"/>
      </w:pPr>
      <w:r>
        <w:rPr>
          <w:rFonts w:ascii="Arial" w:cs="Arial" w:eastAsia="Arial" w:hAnsi="Arial"/>
          <w:b/>
          <w:bCs/>
          <w:color w:val="040507"/>
          <w:sz w:val="26"/>
          <w:szCs w:val="26"/>
        </w:rPr>
        <w:t xml:space="preserve">Letter from the Founder</w:t>
      </w:r>
    </w:p>
    <w:p>
      <w:pPr>
        <w:spacing w:after="140" w:line="276"/>
      </w:pPr>
      <w:r>
        <w:rPr>
          <w:rFonts w:ascii="Arial" w:cs="Arial" w:eastAsia="Arial" w:hAnsi="Arial"/>
          <w:i/>
          <w:iCs/>
          <w:color w:val="6B7280"/>
          <w:sz w:val="19"/>
          <w:szCs w:val="19"/>
        </w:rPr>
        <w:t xml:space="preserve">To our founding investors —</w:t>
      </w:r>
    </w:p>
    <w:p>
      <w:pPr>
        <w:spacing w:after="120" w:line="276"/>
        <w:jc w:val="both"/>
      </w:pPr>
      <w:r>
        <w:rPr>
          <w:rFonts w:ascii="Arial" w:cs="Arial" w:eastAsia="Arial" w:hAnsi="Arial"/>
          <w:color w:val="040507"/>
          <w:sz w:val="20"/>
          <w:szCs w:val="20"/>
        </w:rPr>
        <w:t xml:space="preserve">Before there’s a Series A, before there’s a venue map, before there’s a public launch in New Orleans — there’s this. A focused round, opened to accredited investors who believe in what Music Habitat is building. Early believers. People who see the opportunity before the market does.</w:t>
      </w:r>
    </w:p>
    <w:p>
      <w:pPr>
        <w:spacing w:after="120" w:line="276"/>
        <w:jc w:val="both"/>
      </w:pPr>
      <w:r>
        <w:rPr>
          <w:rFonts w:ascii="Arial" w:cs="Arial" w:eastAsia="Arial" w:hAnsi="Arial"/>
          <w:color w:val="040507"/>
          <w:sz w:val="20"/>
          <w:szCs w:val="20"/>
        </w:rPr>
        <w:t xml:space="preserve">This is not a marketplace transaction. The terms here are designed so that if I do well, you do well — in economic lockstep. Same dilution. Same exit math. Same pari passu rights. You’re not paying retail; you’re standing where I am.</w:t>
      </w:r>
    </w:p>
    <w:p>
      <w:pPr>
        <w:spacing w:after="120" w:line="276"/>
        <w:jc w:val="both"/>
      </w:pPr>
      <w:r>
        <w:rPr>
          <w:rFonts w:ascii="Arial" w:cs="Arial" w:eastAsia="Arial" w:hAnsi="Arial"/>
          <w:color w:val="040507"/>
          <w:sz w:val="20"/>
          <w:szCs w:val="20"/>
        </w:rPr>
        <w:t xml:space="preserve">It’s also speculative. There’s no public market, no guaranteed exit, and a real chance you lose what you put in. Invest only what you can lose without changing your year.</w:t>
      </w:r>
    </w:p>
    <w:p>
      <w:pPr>
        <w:spacing w:after="140" w:line="276"/>
      </w:pPr>
      <w:r>
        <w:rPr>
          <w:rFonts w:ascii="Arial" w:cs="Arial" w:eastAsia="Arial" w:hAnsi="Arial"/>
          <w:i/>
          <w:iCs/>
          <w:color w:val="6B7280"/>
          <w:sz w:val="19"/>
          <w:szCs w:val="19"/>
        </w:rPr>
        <w:t xml:space="preserve">Thank you for considering Music Habitat. Whether you participate or not, we appreciate your belief in the vision.</w:t>
      </w:r>
    </w:p>
    <w:p>
      <w:pPr>
        <w:spacing w:after="120" w:line="276"/>
        <w:jc w:val="left"/>
      </w:pPr>
      <w:r>
        <w:rPr>
          <w:rFonts w:ascii="Arial" w:cs="Arial" w:eastAsia="Arial" w:hAnsi="Arial"/>
          <w:color w:val="040507"/>
          <w:sz w:val="20"/>
          <w:szCs w:val="20"/>
        </w:rPr>
        <w:t xml:space="preserve">With gratitude,</w:t>
      </w:r>
    </w:p>
    <w:p>
      <w:pPr>
        <w:spacing w:after="0" w:before="60"/>
      </w:pPr>
      <w:r>
        <w:rPr>
          <w:rFonts w:ascii="Arial" w:cs="Arial" w:eastAsia="Arial" w:hAnsi="Arial"/>
          <w:b/>
          <w:bCs/>
          <w:i/>
          <w:iCs/>
          <w:color w:val="040507"/>
          <w:sz w:val="20"/>
          <w:szCs w:val="20"/>
        </w:rPr>
        <w:t xml:space="preserve">Brandon Beard</w:t>
      </w:r>
    </w:p>
    <w:p>
      <w:pPr>
        <w:spacing w:after="120"/>
      </w:pPr>
      <w:r>
        <w:rPr>
          <w:rFonts w:ascii="Arial" w:cs="Arial" w:eastAsia="Arial" w:hAnsi="Arial"/>
          <w:color w:val="6B7280"/>
          <w:sz w:val="18"/>
          <w:szCs w:val="18"/>
        </w:rPr>
        <w:t xml:space="preserve">Founder &amp; CEO  ·  Music Habitat, Inc.</w:t>
      </w:r>
    </w:p>
    <w:p>
      <w:r>
        <w:br w:type="page"/>
      </w:r>
    </w:p>
    <w:p>
      <w:pPr>
        <w:spacing w:after="60" w:before="300"/>
      </w:pPr>
      <w:r>
        <w:rPr>
          <w:rFonts w:ascii="Arial" w:cs="Arial" w:eastAsia="Arial" w:hAnsi="Arial"/>
          <w:b/>
          <w:bCs/>
          <w:color w:val="6B7280"/>
          <w:spacing w:val="50"/>
          <w:sz w:val="15"/>
          <w:szCs w:val="15"/>
        </w:rPr>
        <w:t xml:space="preserve">ARTICLE  II</w:t>
      </w:r>
    </w:p>
    <w:p>
      <w:pPr>
        <w:pBdr>
          <w:bottom w:val="single" w:color="D9DEE3" w:sz="4" w:space="2"/>
        </w:pBdr>
        <w:spacing w:after="80" w:before="220"/>
      </w:pPr>
      <w:r>
        <w:rPr>
          <w:rFonts w:ascii="Arial" w:cs="Arial" w:eastAsia="Arial" w:hAnsi="Arial"/>
          <w:b/>
          <w:bCs/>
          <w:color w:val="040507"/>
          <w:sz w:val="26"/>
          <w:szCs w:val="26"/>
        </w:rPr>
        <w:t xml:space="preserve">The Opportunity</w:t>
      </w:r>
    </w:p>
    <w:p>
      <w:pPr>
        <w:spacing w:after="40" w:before="160"/>
      </w:pPr>
      <w:r>
        <w:rPr>
          <w:rFonts w:ascii="Arial" w:cs="Arial" w:eastAsia="Arial" w:hAnsi="Arial"/>
          <w:b/>
          <w:bCs/>
          <w:color w:val="00AECF"/>
          <w:sz w:val="21"/>
          <w:szCs w:val="21"/>
        </w:rPr>
        <w:t xml:space="preserve">2.1   </w:t>
      </w:r>
      <w:r>
        <w:rPr>
          <w:rFonts w:ascii="Arial" w:cs="Arial" w:eastAsia="Arial" w:hAnsi="Arial"/>
          <w:b/>
          <w:bCs/>
          <w:color w:val="040507"/>
          <w:sz w:val="21"/>
          <w:szCs w:val="21"/>
        </w:rPr>
        <w:t xml:space="preserve">What Music Habitat Is</w:t>
      </w:r>
    </w:p>
    <w:p>
      <w:pPr>
        <w:spacing w:after="120" w:line="276"/>
        <w:jc w:val="left"/>
      </w:pPr>
      <w:r>
        <w:rPr>
          <w:rFonts w:ascii="Arial" w:cs="Arial" w:eastAsia="Arial" w:hAnsi="Arial"/>
          <w:color w:val="040507"/>
          <w:sz w:val="20"/>
          <w:szCs w:val="20"/>
        </w:rPr>
        <w:t xml:space="preserve">Music Habitat is the parent company behind a connected family of live-music products: StageBid™ (bid-based booking marketplace), the StageBid Ticketing API Rolodex (secure credential management across global ticketing platforms), Go Live (livestreaming), Fan Layer (audience engagement), and the digital EPK / Venue Card / Musician profile architecture.</w:t>
      </w:r>
    </w:p>
    <w:p>
      <w:pPr>
        <w:spacing w:after="40" w:before="160"/>
      </w:pPr>
      <w:r>
        <w:rPr>
          <w:rFonts w:ascii="Arial" w:cs="Arial" w:eastAsia="Arial" w:hAnsi="Arial"/>
          <w:b/>
          <w:bCs/>
          <w:color w:val="00AECF"/>
          <w:sz w:val="21"/>
          <w:szCs w:val="21"/>
        </w:rPr>
        <w:t xml:space="preserve">2.2   </w:t>
      </w:r>
      <w:r>
        <w:rPr>
          <w:rFonts w:ascii="Arial" w:cs="Arial" w:eastAsia="Arial" w:hAnsi="Arial"/>
          <w:b/>
          <w:bCs/>
          <w:color w:val="040507"/>
          <w:sz w:val="21"/>
          <w:szCs w:val="21"/>
        </w:rPr>
        <w:t xml:space="preserve">Stage</w:t>
      </w:r>
    </w:p>
    <w:p>
      <w:pPr>
        <w:spacing w:after="120" w:line="276"/>
        <w:jc w:val="left"/>
      </w:pPr>
      <w:r>
        <w:rPr>
          <w:rFonts w:ascii="Arial" w:cs="Arial" w:eastAsia="Arial" w:hAnsi="Arial"/>
          <w:color w:val="040507"/>
          <w:sz w:val="20"/>
          <w:szCs w:val="20"/>
        </w:rPr>
        <w:t xml:space="preserve">Pre-launch. New Orleans go-live targeted for 2026. Series A target H1 2027.</w:t>
      </w:r>
    </w:p>
    <w:p>
      <w:pPr>
        <w:spacing w:after="40" w:before="160"/>
      </w:pPr>
      <w:r>
        <w:rPr>
          <w:rFonts w:ascii="Arial" w:cs="Arial" w:eastAsia="Arial" w:hAnsi="Arial"/>
          <w:b/>
          <w:bCs/>
          <w:color w:val="00AECF"/>
          <w:sz w:val="21"/>
          <w:szCs w:val="21"/>
        </w:rPr>
        <w:t xml:space="preserve">2.3   </w:t>
      </w:r>
      <w:r>
        <w:rPr>
          <w:rFonts w:ascii="Arial" w:cs="Arial" w:eastAsia="Arial" w:hAnsi="Arial"/>
          <w:b/>
          <w:bCs/>
          <w:color w:val="040507"/>
          <w:sz w:val="21"/>
          <w:szCs w:val="21"/>
        </w:rPr>
        <w:t xml:space="preserve">Why Now</w:t>
      </w:r>
    </w:p>
    <w:p>
      <w:pPr>
        <w:spacing w:after="120" w:line="276"/>
        <w:jc w:val="left"/>
      </w:pPr>
      <w:r>
        <w:rPr>
          <w:rFonts w:ascii="Arial" w:cs="Arial" w:eastAsia="Arial" w:hAnsi="Arial"/>
          <w:color w:val="040507"/>
          <w:sz w:val="20"/>
          <w:szCs w:val="20"/>
        </w:rPr>
        <w:t xml:space="preserve">The live-music industry has remained structurally fragmented while every adjacent industry digitized. The Music Habitat thesis is that there is room for a coordinating layer — one operating system that the artist, venue, and musician each use, with one set of ground-truth data and one set of money flows.</w:t>
      </w:r>
    </w:p>
    <w:p>
      <w:pPr>
        <w:spacing w:after="40" w:before="160"/>
      </w:pPr>
      <w:r>
        <w:rPr>
          <w:rFonts w:ascii="Arial" w:cs="Arial" w:eastAsia="Arial" w:hAnsi="Arial"/>
          <w:b/>
          <w:bCs/>
          <w:color w:val="00AECF"/>
          <w:sz w:val="21"/>
          <w:szCs w:val="21"/>
        </w:rPr>
        <w:t xml:space="preserve">2.4   </w:t>
      </w:r>
      <w:r>
        <w:rPr>
          <w:rFonts w:ascii="Arial" w:cs="Arial" w:eastAsia="Arial" w:hAnsi="Arial"/>
          <w:b/>
          <w:bCs/>
          <w:color w:val="040507"/>
          <w:sz w:val="21"/>
          <w:szCs w:val="21"/>
        </w:rPr>
        <w:t xml:space="preserve">Market</w:t>
      </w:r>
    </w:p>
    <w:p>
      <w:pPr>
        <w:spacing w:after="120" w:line="276"/>
        <w:jc w:val="left"/>
      </w:pPr>
      <w:r>
        <w:rPr>
          <w:rFonts w:ascii="Arial" w:cs="Arial" w:eastAsia="Arial" w:hAnsi="Arial"/>
          <w:color w:val="040507"/>
          <w:sz w:val="20"/>
          <w:szCs w:val="20"/>
        </w:rPr>
        <w:t xml:space="preserve">TAM $121.5B  ·  SAM $12.0B  ·  SOM $500M (year-five). See the Executive Summary for sources and methodology.</w:t>
      </w:r>
    </w:p>
    <w:p>
      <w:pPr>
        <w:spacing w:after="40" w:before="160"/>
      </w:pPr>
      <w:r>
        <w:rPr>
          <w:rFonts w:ascii="Arial" w:cs="Arial" w:eastAsia="Arial" w:hAnsi="Arial"/>
          <w:b/>
          <w:bCs/>
          <w:color w:val="00AECF"/>
          <w:sz w:val="21"/>
          <w:szCs w:val="21"/>
        </w:rPr>
        <w:t xml:space="preserve">2.5   </w:t>
      </w:r>
      <w:r>
        <w:rPr>
          <w:rFonts w:ascii="Arial" w:cs="Arial" w:eastAsia="Arial" w:hAnsi="Arial"/>
          <w:b/>
          <w:bCs/>
          <w:color w:val="040507"/>
          <w:sz w:val="21"/>
          <w:szCs w:val="21"/>
        </w:rPr>
        <w:t xml:space="preserve">Revenue Trajectory</w:t>
      </w:r>
    </w:p>
    <w:p>
      <w:pPr>
        <w:spacing w:after="120" w:line="276"/>
        <w:jc w:val="left"/>
      </w:pPr>
      <w:r>
        <w:rPr>
          <w:rFonts w:ascii="Arial" w:cs="Arial" w:eastAsia="Arial" w:hAnsi="Arial"/>
          <w:color w:val="040507"/>
          <w:sz w:val="20"/>
          <w:szCs w:val="20"/>
        </w:rPr>
        <w:t xml:space="preserve">Y1: $2M  ·  Y2: $12M  ·  Y3: $35M (target). Three-year revenue mix is SaaS-led, with transactional ticketing/booking volume layered in.</w:t>
      </w:r>
    </w:p>
    <w:p>
      <w:r>
        <w:br w:type="page"/>
      </w:r>
    </w:p>
    <w:p>
      <w:pPr>
        <w:spacing w:after="60" w:before="300"/>
      </w:pPr>
      <w:r>
        <w:rPr>
          <w:rFonts w:ascii="Arial" w:cs="Arial" w:eastAsia="Arial" w:hAnsi="Arial"/>
          <w:b/>
          <w:bCs/>
          <w:color w:val="6B7280"/>
          <w:spacing w:val="50"/>
          <w:sz w:val="15"/>
          <w:szCs w:val="15"/>
        </w:rPr>
        <w:t xml:space="preserve">ARTICLE  III</w:t>
      </w:r>
    </w:p>
    <w:p>
      <w:pPr>
        <w:pBdr>
          <w:bottom w:val="single" w:color="D9DEE3" w:sz="4" w:space="2"/>
        </w:pBdr>
        <w:spacing w:after="80" w:before="220"/>
      </w:pPr>
      <w:r>
        <w:rPr>
          <w:rFonts w:ascii="Arial" w:cs="Arial" w:eastAsia="Arial" w:hAnsi="Arial"/>
          <w:b/>
          <w:bCs/>
          <w:color w:val="040507"/>
          <w:sz w:val="26"/>
          <w:szCs w:val="26"/>
        </w:rPr>
        <w:t xml:space="preserve">Terms of the Offering</w:t>
      </w:r>
    </w:p>
    <w:p>
      <w:pPr>
        <w:spacing w:after="40" w:before="160"/>
      </w:pPr>
      <w:r>
        <w:rPr>
          <w:rFonts w:ascii="Arial" w:cs="Arial" w:eastAsia="Arial" w:hAnsi="Arial"/>
          <w:b/>
          <w:bCs/>
          <w:color w:val="00AECF"/>
          <w:sz w:val="21"/>
          <w:szCs w:val="21"/>
        </w:rPr>
        <w:t xml:space="preserve">3.1   </w:t>
      </w:r>
      <w:r>
        <w:rPr>
          <w:rFonts w:ascii="Arial" w:cs="Arial" w:eastAsia="Arial" w:hAnsi="Arial"/>
          <w:b/>
          <w:bCs/>
          <w:color w:val="040507"/>
          <w:sz w:val="21"/>
          <w:szCs w:val="21"/>
        </w:rPr>
        <w:t xml:space="preserve">Security</w:t>
      </w:r>
    </w:p>
    <w:p>
      <w:pPr>
        <w:spacing w:after="120" w:line="276"/>
        <w:jc w:val="left"/>
      </w:pPr>
      <w:r>
        <w:rPr>
          <w:rFonts w:ascii="Arial" w:cs="Arial" w:eastAsia="Arial" w:hAnsi="Arial"/>
          <w:color w:val="040507"/>
          <w:sz w:val="20"/>
          <w:szCs w:val="20"/>
        </w:rPr>
        <w:t xml:space="preserve">By tier: Tier 1 investors receive a SAFE (converting into Class B Preferred Shares) plus a Warrant; Tier 2 investors purchase Class B Preferred Shares plus a Warrant; Tier 3 investors purchase Class B Preferred Shares. See Article IV.</w:t>
      </w:r>
    </w:p>
    <w:p>
      <w:pPr>
        <w:spacing w:after="40" w:before="160"/>
      </w:pPr>
      <w:r>
        <w:rPr>
          <w:rFonts w:ascii="Arial" w:cs="Arial" w:eastAsia="Arial" w:hAnsi="Arial"/>
          <w:b/>
          <w:bCs/>
          <w:color w:val="00AECF"/>
          <w:sz w:val="21"/>
          <w:szCs w:val="21"/>
        </w:rPr>
        <w:t xml:space="preserve">3.2   </w:t>
      </w:r>
      <w:r>
        <w:rPr>
          <w:rFonts w:ascii="Arial" w:cs="Arial" w:eastAsia="Arial" w:hAnsi="Arial"/>
          <w:b/>
          <w:bCs/>
          <w:color w:val="040507"/>
          <w:sz w:val="21"/>
          <w:szCs w:val="21"/>
        </w:rPr>
        <w:t xml:space="preserve">Valuation Cap</w:t>
      </w:r>
    </w:p>
    <w:p>
      <w:pPr>
        <w:spacing w:after="120" w:line="276"/>
        <w:jc w:val="left"/>
      </w:pPr>
      <w:r>
        <w:rPr>
          <w:rFonts w:ascii="Arial" w:cs="Arial" w:eastAsia="Arial" w:hAnsi="Arial"/>
          <w:color w:val="040507"/>
          <w:sz w:val="20"/>
          <w:szCs w:val="20"/>
        </w:rPr>
        <w:t xml:space="preserve">$12,500,000 pre-money. The Company has declared 10,000,000 authorized shares, implying $1.25 per share at the cap.</w:t>
      </w:r>
    </w:p>
    <w:p>
      <w:pPr>
        <w:spacing w:after="40" w:before="160"/>
      </w:pPr>
      <w:r>
        <w:rPr>
          <w:rFonts w:ascii="Arial" w:cs="Arial" w:eastAsia="Arial" w:hAnsi="Arial"/>
          <w:b/>
          <w:bCs/>
          <w:color w:val="00AECF"/>
          <w:sz w:val="21"/>
          <w:szCs w:val="21"/>
        </w:rPr>
        <w:t xml:space="preserve">3.3   </w:t>
      </w:r>
      <w:r>
        <w:rPr>
          <w:rFonts w:ascii="Arial" w:cs="Arial" w:eastAsia="Arial" w:hAnsi="Arial"/>
          <w:b/>
          <w:bCs/>
          <w:color w:val="040507"/>
          <w:sz w:val="21"/>
          <w:szCs w:val="21"/>
        </w:rPr>
        <w:t xml:space="preserve">Discount</w:t>
      </w:r>
    </w:p>
    <w:p>
      <w:pPr>
        <w:spacing w:after="120" w:line="276"/>
        <w:jc w:val="left"/>
      </w:pPr>
      <w:r>
        <w:rPr>
          <w:rFonts w:ascii="Arial" w:cs="Arial" w:eastAsia="Arial" w:hAnsi="Arial"/>
          <w:color w:val="040507"/>
          <w:sz w:val="20"/>
          <w:szCs w:val="20"/>
        </w:rPr>
        <w:t xml:space="preserve">5% (SAFE investors convert at 95% of the next round’s per-share price).</w:t>
      </w:r>
    </w:p>
    <w:p>
      <w:pPr>
        <w:spacing w:after="40" w:before="160"/>
      </w:pPr>
      <w:r>
        <w:rPr>
          <w:rFonts w:ascii="Arial" w:cs="Arial" w:eastAsia="Arial" w:hAnsi="Arial"/>
          <w:b/>
          <w:bCs/>
          <w:color w:val="00AECF"/>
          <w:sz w:val="21"/>
          <w:szCs w:val="21"/>
        </w:rPr>
        <w:t xml:space="preserve">3.4   </w:t>
      </w:r>
      <w:r>
        <w:rPr>
          <w:rFonts w:ascii="Arial" w:cs="Arial" w:eastAsia="Arial" w:hAnsi="Arial"/>
          <w:b/>
          <w:bCs/>
          <w:color w:val="040507"/>
          <w:sz w:val="21"/>
          <w:szCs w:val="21"/>
        </w:rPr>
        <w:t xml:space="preserve">Conversion Trigger</w:t>
      </w:r>
    </w:p>
    <w:p>
      <w:pPr>
        <w:spacing w:after="120" w:line="276"/>
        <w:jc w:val="left"/>
      </w:pPr>
      <w:r>
        <w:rPr>
          <w:rFonts w:ascii="Arial" w:cs="Arial" w:eastAsia="Arial" w:hAnsi="Arial"/>
          <w:color w:val="040507"/>
          <w:sz w:val="20"/>
          <w:szCs w:val="20"/>
        </w:rPr>
        <w:t xml:space="preserve">The SAFE converts upon the first to occur of: (i) a Qualified Financing of ≥ $1,000,000 aggregate gross proceeds (excluding Private Raise SAFEs); (ii) gross revenues of ≥ $500,000; or (iii) ≥ 100,000 registered users.</w:t>
      </w:r>
    </w:p>
    <w:p>
      <w:pPr>
        <w:spacing w:after="40" w:before="160"/>
      </w:pPr>
      <w:r>
        <w:rPr>
          <w:rFonts w:ascii="Arial" w:cs="Arial" w:eastAsia="Arial" w:hAnsi="Arial"/>
          <w:b/>
          <w:bCs/>
          <w:color w:val="00AECF"/>
          <w:sz w:val="21"/>
          <w:szCs w:val="21"/>
        </w:rPr>
        <w:t xml:space="preserve">3.5   </w:t>
      </w:r>
      <w:r>
        <w:rPr>
          <w:rFonts w:ascii="Arial" w:cs="Arial" w:eastAsia="Arial" w:hAnsi="Arial"/>
          <w:b/>
          <w:bCs/>
          <w:color w:val="040507"/>
          <w:sz w:val="21"/>
          <w:szCs w:val="21"/>
        </w:rPr>
        <w:t xml:space="preserve">Investment Limits</w:t>
      </w:r>
    </w:p>
    <w:p>
      <w:pPr>
        <w:spacing w:after="120" w:line="276"/>
        <w:jc w:val="left"/>
      </w:pPr>
      <w:r>
        <w:rPr>
          <w:rFonts w:ascii="Arial" w:cs="Arial" w:eastAsia="Arial" w:hAnsi="Arial"/>
          <w:color w:val="040507"/>
          <w:sz w:val="20"/>
          <w:szCs w:val="20"/>
        </w:rPr>
        <w:t xml:space="preserve">$2,500 minimum (2,000 shares). Maximum by allocation at the Company’s discretion. Aggregate round target: $750,000.</w:t>
      </w:r>
    </w:p>
    <w:p>
      <w:pPr>
        <w:spacing w:after="40" w:before="160"/>
      </w:pPr>
      <w:r>
        <w:rPr>
          <w:rFonts w:ascii="Arial" w:cs="Arial" w:eastAsia="Arial" w:hAnsi="Arial"/>
          <w:b/>
          <w:bCs/>
          <w:color w:val="00AECF"/>
          <w:sz w:val="21"/>
          <w:szCs w:val="21"/>
        </w:rPr>
        <w:t xml:space="preserve">3.6   </w:t>
      </w:r>
      <w:r>
        <w:rPr>
          <w:rFonts w:ascii="Arial" w:cs="Arial" w:eastAsia="Arial" w:hAnsi="Arial"/>
          <w:b/>
          <w:bCs/>
          <w:color w:val="040507"/>
          <w:sz w:val="21"/>
          <w:szCs w:val="21"/>
        </w:rPr>
        <w:t xml:space="preserve">Warrant Coverage</w:t>
      </w:r>
    </w:p>
    <w:p>
      <w:pPr>
        <w:spacing w:after="120" w:line="276"/>
        <w:jc w:val="left"/>
      </w:pPr>
      <w:r>
        <w:rPr>
          <w:rFonts w:ascii="Arial" w:cs="Arial" w:eastAsia="Arial" w:hAnsi="Arial"/>
          <w:color w:val="040507"/>
          <w:sz w:val="20"/>
          <w:szCs w:val="20"/>
        </w:rPr>
        <w:t xml:space="preserve">2× the Purchased Shares (or SAFE Conversion Shares for Tier 1) at 95% of FMV, exercisable within 9 months of the Grant Date.</w:t>
      </w:r>
    </w:p>
    <w:p>
      <w:pPr>
        <w:spacing w:after="40" w:before="160"/>
      </w:pPr>
      <w:r>
        <w:rPr>
          <w:rFonts w:ascii="Arial" w:cs="Arial" w:eastAsia="Arial" w:hAnsi="Arial"/>
          <w:b/>
          <w:bCs/>
          <w:color w:val="00AECF"/>
          <w:sz w:val="21"/>
          <w:szCs w:val="21"/>
        </w:rPr>
        <w:t xml:space="preserve">3.7   </w:t>
      </w:r>
      <w:r>
        <w:rPr>
          <w:rFonts w:ascii="Arial" w:cs="Arial" w:eastAsia="Arial" w:hAnsi="Arial"/>
          <w:b/>
          <w:bCs/>
          <w:color w:val="040507"/>
          <w:sz w:val="21"/>
          <w:szCs w:val="21"/>
        </w:rPr>
        <w:t xml:space="preserve">Class B Rights</w:t>
      </w:r>
    </w:p>
    <w:p>
      <w:pPr>
        <w:spacing w:after="120" w:line="276"/>
        <w:jc w:val="left"/>
      </w:pPr>
      <w:r>
        <w:rPr>
          <w:rFonts w:ascii="Arial" w:cs="Arial" w:eastAsia="Arial" w:hAnsi="Arial"/>
          <w:color w:val="040507"/>
          <w:sz w:val="20"/>
          <w:szCs w:val="20"/>
        </w:rPr>
        <w:t xml:space="preserve">Pari passu with Class A on all economic events. 1:1 voting (vs. Class A’s 15:1). Tag-Along, Drag-Along, ROFR, Preemptive, and Information rights as set forth in the Operating Agreement and Stockholders’ Agreement.</w:t>
      </w:r>
    </w:p>
    <w:p>
      <w:pPr>
        <w:spacing w:after="40" w:before="160"/>
      </w:pPr>
      <w:r>
        <w:rPr>
          <w:rFonts w:ascii="Arial" w:cs="Arial" w:eastAsia="Arial" w:hAnsi="Arial"/>
          <w:b/>
          <w:bCs/>
          <w:color w:val="00AECF"/>
          <w:sz w:val="21"/>
          <w:szCs w:val="21"/>
        </w:rPr>
        <w:t xml:space="preserve">3.8   </w:t>
      </w:r>
      <w:r>
        <w:rPr>
          <w:rFonts w:ascii="Arial" w:cs="Arial" w:eastAsia="Arial" w:hAnsi="Arial"/>
          <w:b/>
          <w:bCs/>
          <w:color w:val="040507"/>
          <w:sz w:val="21"/>
          <w:szCs w:val="21"/>
        </w:rPr>
        <w:t xml:space="preserve">No Interest; No Maturity</w:t>
      </w:r>
    </w:p>
    <w:p>
      <w:pPr>
        <w:spacing w:after="120" w:line="276"/>
        <w:jc w:val="left"/>
      </w:pPr>
      <w:r>
        <w:rPr>
          <w:rFonts w:ascii="Arial" w:cs="Arial" w:eastAsia="Arial" w:hAnsi="Arial"/>
          <w:color w:val="040507"/>
          <w:sz w:val="20"/>
          <w:szCs w:val="20"/>
        </w:rPr>
        <w:t xml:space="preserve">The SAFE bears no interest and has no maturity date.</w:t>
      </w:r>
    </w:p>
    <w:p>
      <w:r>
        <w:br w:type="page"/>
      </w:r>
    </w:p>
    <w:p>
      <w:pPr>
        <w:spacing w:after="60" w:before="300"/>
      </w:pPr>
      <w:r>
        <w:rPr>
          <w:rFonts w:ascii="Arial" w:cs="Arial" w:eastAsia="Arial" w:hAnsi="Arial"/>
          <w:b/>
          <w:bCs/>
          <w:color w:val="6B7280"/>
          <w:spacing w:val="50"/>
          <w:sz w:val="15"/>
          <w:szCs w:val="15"/>
        </w:rPr>
        <w:t xml:space="preserve">ARTICLE  IV</w:t>
      </w:r>
    </w:p>
    <w:p>
      <w:pPr>
        <w:pBdr>
          <w:bottom w:val="single" w:color="D9DEE3" w:sz="4" w:space="2"/>
        </w:pBdr>
        <w:spacing w:after="80" w:before="220"/>
      </w:pPr>
      <w:r>
        <w:rPr>
          <w:rFonts w:ascii="Arial" w:cs="Arial" w:eastAsia="Arial" w:hAnsi="Arial"/>
          <w:b/>
          <w:bCs/>
          <w:color w:val="040507"/>
          <w:sz w:val="26"/>
          <w:szCs w:val="26"/>
        </w:rPr>
        <w:t xml:space="preserve">Tier Structure</w:t>
      </w:r>
    </w:p>
    <w:p>
      <w:pPr>
        <w:spacing w:after="140" w:line="276"/>
      </w:pPr>
      <w:r>
        <w:rPr>
          <w:rFonts w:ascii="Arial" w:cs="Arial" w:eastAsia="Arial" w:hAnsi="Arial"/>
          <w:i/>
          <w:iCs/>
          <w:color w:val="6B7280"/>
          <w:sz w:val="19"/>
          <w:szCs w:val="19"/>
        </w:rPr>
        <w:t xml:space="preserve">Participation is structured in three tiers by order of subscription. Tier placement determines the form of security received.</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Tier 1 — Investors 1–25: </w:t>
      </w:r>
      <w:r>
        <w:rPr>
          <w:rFonts w:ascii="Arial" w:cs="Arial" w:eastAsia="Arial" w:hAnsi="Arial"/>
          <w:color w:val="040507"/>
          <w:sz w:val="20"/>
          <w:szCs w:val="20"/>
        </w:rPr>
        <w:t xml:space="preserve">SAFE Agreement + Warrant. SAFE converts into Class B Preferred Shares upon the Conversion Trigger; Warrant covers 2× the SAFE Conversion Shares at 95% FMV.</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Tier 2 — Investors 26–35: </w:t>
      </w:r>
      <w:r>
        <w:rPr>
          <w:rFonts w:ascii="Arial" w:cs="Arial" w:eastAsia="Arial" w:hAnsi="Arial"/>
          <w:color w:val="040507"/>
          <w:sz w:val="20"/>
          <w:szCs w:val="20"/>
        </w:rPr>
        <w:t xml:space="preserve">Class B Preferred Shares at $1.25 + Warrant. Direct purchase of Class B at the cap price, with a 2× Warrant at 95% FMV.</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Tier 3 — Investors 36+: </w:t>
      </w:r>
      <w:r>
        <w:rPr>
          <w:rFonts w:ascii="Arial" w:cs="Arial" w:eastAsia="Arial" w:hAnsi="Arial"/>
          <w:color w:val="040507"/>
          <w:sz w:val="20"/>
          <w:szCs w:val="20"/>
        </w:rPr>
        <w:t xml:space="preserve">Class B Preferred Shares at $1.25 only. Direct purchase of Class B at the cap price.</w:t>
      </w:r>
    </w:p>
    <w:p>
      <w:pPr>
        <w:spacing w:after="140" w:line="276"/>
      </w:pPr>
      <w:r>
        <w:rPr>
          <w:rFonts w:ascii="Arial" w:cs="Arial" w:eastAsia="Arial" w:hAnsi="Arial"/>
          <w:i/>
          <w:iCs/>
          <w:color w:val="6B7280"/>
          <w:sz w:val="19"/>
          <w:szCs w:val="19"/>
        </w:rPr>
        <w:t xml:space="preserve">All tiers receive Class B Preferred Shares (directly or upon conversion), pari passu with Class A on economic events. Tier placement affects the instrument and warrant coverage only — not the underlying Class B economic and voting terms.</w:t>
      </w:r>
    </w:p>
    <w:p>
      <w:r>
        <w:br w:type="page"/>
      </w:r>
    </w:p>
    <w:p>
      <w:pPr>
        <w:spacing w:after="60" w:before="300"/>
      </w:pPr>
      <w:r>
        <w:rPr>
          <w:rFonts w:ascii="Arial" w:cs="Arial" w:eastAsia="Arial" w:hAnsi="Arial"/>
          <w:b/>
          <w:bCs/>
          <w:color w:val="6B7280"/>
          <w:spacing w:val="50"/>
          <w:sz w:val="15"/>
          <w:szCs w:val="15"/>
        </w:rPr>
        <w:t xml:space="preserve">ARTICLE  V</w:t>
      </w:r>
    </w:p>
    <w:p>
      <w:pPr>
        <w:pBdr>
          <w:bottom w:val="single" w:color="D9DEE3" w:sz="4" w:space="2"/>
        </w:pBdr>
        <w:spacing w:after="80" w:before="220"/>
      </w:pPr>
      <w:r>
        <w:rPr>
          <w:rFonts w:ascii="Arial" w:cs="Arial" w:eastAsia="Arial" w:hAnsi="Arial"/>
          <w:b/>
          <w:bCs/>
          <w:color w:val="040507"/>
          <w:sz w:val="26"/>
          <w:szCs w:val="26"/>
        </w:rPr>
        <w:t xml:space="preserve">Risk Factors</w:t>
      </w:r>
    </w:p>
    <w:p>
      <w:pPr>
        <w:spacing w:after="120" w:line="276"/>
      </w:pPr>
      <w:r>
        <w:rPr>
          <w:rFonts w:ascii="Arial" w:cs="Arial" w:eastAsia="Arial" w:hAnsi="Arial"/>
          <w:b/>
          <w:bCs/>
          <w:color w:val="040507"/>
          <w:sz w:val="20"/>
          <w:szCs w:val="20"/>
        </w:rPr>
        <w:t xml:space="preserve">Investment in Music Habitat is speculative and involves a high degree of risk. You should not invest unless you can afford to lose the entire investment.</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Startup risk: </w:t>
      </w:r>
      <w:r>
        <w:rPr>
          <w:rFonts w:ascii="Arial" w:cs="Arial" w:eastAsia="Arial" w:hAnsi="Arial"/>
          <w:color w:val="040507"/>
          <w:sz w:val="20"/>
          <w:szCs w:val="20"/>
        </w:rPr>
        <w:t xml:space="preserve">Most early-stage companies fail. Music Habitat is pre-launch.</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No public market: </w:t>
      </w:r>
      <w:r>
        <w:rPr>
          <w:rFonts w:ascii="Arial" w:cs="Arial" w:eastAsia="Arial" w:hAnsi="Arial"/>
          <w:color w:val="040507"/>
          <w:sz w:val="20"/>
          <w:szCs w:val="20"/>
        </w:rPr>
        <w:t xml:space="preserve">There is no liquidity. You may hold this position for many years — possibly forever.</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Dilution: </w:t>
      </w:r>
      <w:r>
        <w:rPr>
          <w:rFonts w:ascii="Arial" w:cs="Arial" w:eastAsia="Arial" w:hAnsi="Arial"/>
          <w:color w:val="040507"/>
          <w:sz w:val="20"/>
          <w:szCs w:val="20"/>
        </w:rPr>
        <w:t xml:space="preserve">Future financings, option pools, and warrant exercises will dilute Class B holders. Class B shares are 100% dilutable.</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Conversion contingency: </w:t>
      </w:r>
      <w:r>
        <w:rPr>
          <w:rFonts w:ascii="Arial" w:cs="Arial" w:eastAsia="Arial" w:hAnsi="Arial"/>
          <w:color w:val="040507"/>
          <w:sz w:val="20"/>
          <w:szCs w:val="20"/>
        </w:rPr>
        <w:t xml:space="preserve">The SAFE converts only upon the Conversion Trigger — a Qualified Financing of ≥ $1,000,000, gross revenues ≥ $500,000, or ≥ 100,000 registered users. If none occurs, the SAFE may never convert.</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Warrant expiration: </w:t>
      </w:r>
      <w:r>
        <w:rPr>
          <w:rFonts w:ascii="Arial" w:cs="Arial" w:eastAsia="Arial" w:hAnsi="Arial"/>
          <w:color w:val="040507"/>
          <w:sz w:val="20"/>
          <w:szCs w:val="20"/>
        </w:rPr>
        <w:t xml:space="preserve">Warrants expire 9 months after Grant Date. If no Conversion Trigger has occurred by then, the Warrant expires worthless.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Class A control: </w:t>
      </w:r>
      <w:r>
        <w:rPr>
          <w:rFonts w:ascii="Arial" w:cs="Arial" w:eastAsia="Arial" w:hAnsi="Arial"/>
          <w:color w:val="040507"/>
          <w:sz w:val="20"/>
          <w:szCs w:val="20"/>
        </w:rPr>
        <w:t xml:space="preserve">Brandon Beard holds Class A Founder Shares with 15:1 voting. Class B holders cannot outvote the founder on most matters.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Regulatory: </w:t>
      </w:r>
      <w:r>
        <w:rPr>
          <w:rFonts w:ascii="Arial" w:cs="Arial" w:eastAsia="Arial" w:hAnsi="Arial"/>
          <w:color w:val="040507"/>
          <w:sz w:val="20"/>
          <w:szCs w:val="20"/>
        </w:rPr>
        <w:t xml:space="preserve">The live-music industry is subject to regulation by federal, state, and local authorities. Ticketing in particular is the subject of active legislative and antitrust attention.</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Competition: </w:t>
      </w:r>
      <w:r>
        <w:rPr>
          <w:rFonts w:ascii="Arial" w:cs="Arial" w:eastAsia="Arial" w:hAnsi="Arial"/>
          <w:color w:val="040507"/>
          <w:sz w:val="20"/>
          <w:szCs w:val="20"/>
        </w:rPr>
        <w:t xml:space="preserve">Music Habitat competes with established platforms with greater resources.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Forward-looking statements: </w:t>
      </w:r>
      <w:r>
        <w:rPr>
          <w:rFonts w:ascii="Arial" w:cs="Arial" w:eastAsia="Arial" w:hAnsi="Arial"/>
          <w:color w:val="040507"/>
          <w:sz w:val="20"/>
          <w:szCs w:val="20"/>
        </w:rPr>
        <w:t xml:space="preserve">Revenue projections, market sizing, and timelines are estimates and may differ materially from actual results.</w:t>
      </w:r>
    </w:p>
    <w:p>
      <w:r>
        <w:br w:type="page"/>
      </w:r>
    </w:p>
    <w:p>
      <w:pPr>
        <w:spacing w:after="60" w:before="300"/>
      </w:pPr>
      <w:r>
        <w:rPr>
          <w:rFonts w:ascii="Arial" w:cs="Arial" w:eastAsia="Arial" w:hAnsi="Arial"/>
          <w:b/>
          <w:bCs/>
          <w:color w:val="6B7280"/>
          <w:spacing w:val="50"/>
          <w:sz w:val="15"/>
          <w:szCs w:val="15"/>
        </w:rPr>
        <w:t xml:space="preserve">ARTICLE  VI</w:t>
      </w:r>
    </w:p>
    <w:p>
      <w:pPr>
        <w:pBdr>
          <w:bottom w:val="single" w:color="D9DEE3" w:sz="4" w:space="2"/>
        </w:pBdr>
        <w:spacing w:after="80" w:before="220"/>
      </w:pPr>
      <w:r>
        <w:rPr>
          <w:rFonts w:ascii="Arial" w:cs="Arial" w:eastAsia="Arial" w:hAnsi="Arial"/>
          <w:b/>
          <w:bCs/>
          <w:color w:val="040507"/>
          <w:sz w:val="26"/>
          <w:szCs w:val="26"/>
        </w:rPr>
        <w:t xml:space="preserve">Documents in This Package</w:t>
      </w:r>
    </w:p>
    <w:p>
      <w:pPr>
        <w:spacing w:after="120" w:line="276"/>
        <w:jc w:val="left"/>
      </w:pPr>
      <w:r>
        <w:rPr>
          <w:rFonts w:ascii="Arial" w:cs="Arial" w:eastAsia="Arial" w:hAnsi="Arial"/>
          <w:color w:val="040507"/>
          <w:sz w:val="20"/>
          <w:szCs w:val="20"/>
        </w:rPr>
        <w:t xml:space="preserve">This Offering Package is the master overview. The full Private Raise consists of the following execution documents: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SAFE Agreement: </w:t>
      </w:r>
      <w:r>
        <w:rPr>
          <w:rFonts w:ascii="Arial" w:cs="Arial" w:eastAsia="Arial" w:hAnsi="Arial"/>
          <w:color w:val="040507"/>
          <w:sz w:val="20"/>
          <w:szCs w:val="20"/>
        </w:rPr>
        <w:t xml:space="preserve">The convertible security itself. Investment, conversion mechanics, Class B share rights.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Warrant Agreement: </w:t>
      </w:r>
      <w:r>
        <w:rPr>
          <w:rFonts w:ascii="Arial" w:cs="Arial" w:eastAsia="Arial" w:hAnsi="Arial"/>
          <w:color w:val="040507"/>
          <w:sz w:val="20"/>
          <w:szCs w:val="20"/>
        </w:rPr>
        <w:t xml:space="preserve">2× warrant coverage at 95% of FMV, 9-month expiration.</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Subscription Agreement &amp; Investor Questionnaire: </w:t>
      </w:r>
      <w:r>
        <w:rPr>
          <w:rFonts w:ascii="Arial" w:cs="Arial" w:eastAsia="Arial" w:hAnsi="Arial"/>
          <w:color w:val="040507"/>
          <w:sz w:val="20"/>
          <w:szCs w:val="20"/>
        </w:rPr>
        <w:t xml:space="preserve">The subscription form and required Reg D / accreditation verification Q&amp;A.</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Stock Purchase &amp; Transfer Agreement: </w:t>
      </w:r>
      <w:r>
        <w:rPr>
          <w:rFonts w:ascii="Arial" w:cs="Arial" w:eastAsia="Arial" w:hAnsi="Arial"/>
          <w:color w:val="040507"/>
          <w:sz w:val="20"/>
          <w:szCs w:val="20"/>
        </w:rPr>
        <w:t xml:space="preserve">Mechanics for primary issuance and any future secondary transfer (ROFR, Tag-Along, Drag-Along).</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Stockholders’ Agreement: </w:t>
      </w:r>
      <w:r>
        <w:rPr>
          <w:rFonts w:ascii="Arial" w:cs="Arial" w:eastAsia="Arial" w:hAnsi="Arial"/>
          <w:color w:val="040507"/>
          <w:sz w:val="20"/>
          <w:szCs w:val="20"/>
        </w:rPr>
        <w:t xml:space="preserve">Voting, transfer, and governance covenants among all Stockholders of record.</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Operating Agreement: </w:t>
      </w:r>
      <w:r>
        <w:rPr>
          <w:rFonts w:ascii="Arial" w:cs="Arial" w:eastAsia="Arial" w:hAnsi="Arial"/>
          <w:color w:val="040507"/>
          <w:sz w:val="20"/>
          <w:szCs w:val="20"/>
        </w:rPr>
        <w:t xml:space="preserve">The internal governance document of the Company. Board, officers, share classes, protective provisions, indemnification.</w:t>
      </w:r>
    </w:p>
    <w:p>
      <w:pPr>
        <w:spacing w:after="140" w:line="276"/>
      </w:pPr>
      <w:r>
        <w:rPr>
          <w:rFonts w:ascii="Arial" w:cs="Arial" w:eastAsia="Arial" w:hAnsi="Arial"/>
          <w:i/>
          <w:iCs/>
          <w:color w:val="6B7280"/>
          <w:sz w:val="19"/>
          <w:szCs w:val="19"/>
        </w:rPr>
        <w:t xml:space="preserve">Each document is binding on its own terms. Where any conflict exists, the Operating Agreement controls on matters of corporate governance, and the SAFE controls on matters of conversion economics.</w:t>
      </w:r>
    </w:p>
    <w:p>
      <w:r>
        <w:br w:type="page"/>
      </w:r>
    </w:p>
    <w:p>
      <w:pPr>
        <w:spacing w:after="60" w:before="300"/>
      </w:pPr>
      <w:r>
        <w:rPr>
          <w:rFonts w:ascii="Arial" w:cs="Arial" w:eastAsia="Arial" w:hAnsi="Arial"/>
          <w:b/>
          <w:bCs/>
          <w:color w:val="6B7280"/>
          <w:spacing w:val="50"/>
          <w:sz w:val="15"/>
          <w:szCs w:val="15"/>
        </w:rPr>
        <w:t xml:space="preserve">ARTICLE  VII</w:t>
      </w:r>
    </w:p>
    <w:p>
      <w:pPr>
        <w:pBdr>
          <w:bottom w:val="single" w:color="D9DEE3" w:sz="4" w:space="2"/>
        </w:pBdr>
        <w:spacing w:after="80" w:before="220"/>
      </w:pPr>
      <w:r>
        <w:rPr>
          <w:rFonts w:ascii="Arial" w:cs="Arial" w:eastAsia="Arial" w:hAnsi="Arial"/>
          <w:b/>
          <w:bCs/>
          <w:color w:val="040507"/>
          <w:sz w:val="26"/>
          <w:szCs w:val="26"/>
        </w:rPr>
        <w:t xml:space="preserve">Eligibility &amp; Subscription</w:t>
      </w:r>
    </w:p>
    <w:p>
      <w:pPr>
        <w:spacing w:after="40" w:before="160"/>
      </w:pPr>
      <w:r>
        <w:rPr>
          <w:rFonts w:ascii="Arial" w:cs="Arial" w:eastAsia="Arial" w:hAnsi="Arial"/>
          <w:b/>
          <w:bCs/>
          <w:color w:val="00AECF"/>
          <w:sz w:val="21"/>
          <w:szCs w:val="21"/>
        </w:rPr>
        <w:t xml:space="preserve">7.1   </w:t>
      </w:r>
      <w:r>
        <w:rPr>
          <w:rFonts w:ascii="Arial" w:cs="Arial" w:eastAsia="Arial" w:hAnsi="Arial"/>
          <w:b/>
          <w:bCs/>
          <w:color w:val="040507"/>
          <w:sz w:val="21"/>
          <w:szCs w:val="21"/>
        </w:rPr>
        <w:t xml:space="preserve">Securities Law Exemption</w:t>
      </w:r>
    </w:p>
    <w:p>
      <w:pPr>
        <w:spacing w:after="120" w:line="276"/>
        <w:jc w:val="left"/>
      </w:pPr>
      <w:r>
        <w:rPr>
          <w:rFonts w:ascii="Arial" w:cs="Arial" w:eastAsia="Arial" w:hAnsi="Arial"/>
          <w:color w:val="040507"/>
          <w:sz w:val="20"/>
          <w:szCs w:val="20"/>
        </w:rPr>
        <w:t xml:space="preserve">This offering is made pursuant to Rule 506(c) of Regulation D under the Securities Act of 1933. General solicitation is permitted; however, sales are limited to investors whose accredited status has been verified under Rule 501.</w:t>
      </w:r>
    </w:p>
    <w:p>
      <w:pPr>
        <w:spacing w:after="40" w:before="160"/>
      </w:pPr>
      <w:r>
        <w:rPr>
          <w:rFonts w:ascii="Arial" w:cs="Arial" w:eastAsia="Arial" w:hAnsi="Arial"/>
          <w:b/>
          <w:bCs/>
          <w:color w:val="00AECF"/>
          <w:sz w:val="21"/>
          <w:szCs w:val="21"/>
        </w:rPr>
        <w:t xml:space="preserve">7.2   </w:t>
      </w:r>
      <w:r>
        <w:rPr>
          <w:rFonts w:ascii="Arial" w:cs="Arial" w:eastAsia="Arial" w:hAnsi="Arial"/>
          <w:b/>
          <w:bCs/>
          <w:color w:val="040507"/>
          <w:sz w:val="21"/>
          <w:szCs w:val="21"/>
        </w:rPr>
        <w:t xml:space="preserve">Accredited Investors Only</w:t>
      </w:r>
    </w:p>
    <w:p>
      <w:pPr>
        <w:spacing w:after="120" w:line="276"/>
        <w:jc w:val="left"/>
      </w:pPr>
      <w:r>
        <w:rPr>
          <w:rFonts w:ascii="Arial" w:cs="Arial" w:eastAsia="Arial" w:hAnsi="Arial"/>
          <w:color w:val="040507"/>
          <w:sz w:val="20"/>
          <w:szCs w:val="20"/>
        </w:rPr>
        <w:t xml:space="preserve">Participation is limited to Accredited Investors as defined under Rule 501(a) of Regulation D. The Company must take reasonable steps to verify accredited status and will require supporting documentation (e.g., W-2s, tax returns, brokerage/bank statements, or a written confirmation from a licensed CPA, attorney, registered investment adviser, or registered broker-dealer).</w:t>
      </w:r>
    </w:p>
    <w:p>
      <w:pPr>
        <w:spacing w:after="40" w:before="160"/>
      </w:pPr>
      <w:r>
        <w:rPr>
          <w:rFonts w:ascii="Arial" w:cs="Arial" w:eastAsia="Arial" w:hAnsi="Arial"/>
          <w:b/>
          <w:bCs/>
          <w:color w:val="00AECF"/>
          <w:sz w:val="21"/>
          <w:szCs w:val="21"/>
        </w:rPr>
        <w:t xml:space="preserve">7.3   </w:t>
      </w:r>
      <w:r>
        <w:rPr>
          <w:rFonts w:ascii="Arial" w:cs="Arial" w:eastAsia="Arial" w:hAnsi="Arial"/>
          <w:b/>
          <w:bCs/>
          <w:color w:val="040507"/>
          <w:sz w:val="21"/>
          <w:szCs w:val="21"/>
        </w:rPr>
        <w:t xml:space="preserve">No Non-Accredited Participation</w:t>
      </w:r>
    </w:p>
    <w:p>
      <w:pPr>
        <w:spacing w:after="120" w:line="276"/>
        <w:jc w:val="left"/>
      </w:pPr>
      <w:r>
        <w:rPr>
          <w:rFonts w:ascii="Arial" w:cs="Arial" w:eastAsia="Arial" w:hAnsi="Arial"/>
          <w:color w:val="040507"/>
          <w:sz w:val="20"/>
          <w:szCs w:val="20"/>
        </w:rPr>
        <w:t xml:space="preserve">Because this offering relies on Rule 506(c), non-accredited investors are not eligible to participate. Each subscriber must complete accreditation verification prior to acceptance.</w:t>
      </w:r>
    </w:p>
    <w:p>
      <w:pPr>
        <w:spacing w:after="40" w:before="160"/>
      </w:pPr>
      <w:r>
        <w:rPr>
          <w:rFonts w:ascii="Arial" w:cs="Arial" w:eastAsia="Arial" w:hAnsi="Arial"/>
          <w:b/>
          <w:bCs/>
          <w:color w:val="00AECF"/>
          <w:sz w:val="21"/>
          <w:szCs w:val="21"/>
        </w:rPr>
        <w:t xml:space="preserve">7.4   </w:t>
      </w:r>
      <w:r>
        <w:rPr>
          <w:rFonts w:ascii="Arial" w:cs="Arial" w:eastAsia="Arial" w:hAnsi="Arial"/>
          <w:b/>
          <w:bCs/>
          <w:color w:val="040507"/>
          <w:sz w:val="21"/>
          <w:szCs w:val="21"/>
        </w:rPr>
        <w:t xml:space="preserve">Subscription Process</w:t>
      </w:r>
    </w:p>
    <w:p>
      <w:pPr>
        <w:spacing w:after="120" w:line="276"/>
        <w:jc w:val="left"/>
      </w:pPr>
      <w:r>
        <w:rPr>
          <w:rFonts w:ascii="Arial" w:cs="Arial" w:eastAsia="Arial" w:hAnsi="Arial"/>
          <w:color w:val="040507"/>
          <w:sz w:val="20"/>
          <w:szCs w:val="20"/>
        </w:rPr>
        <w:t xml:space="preserve">(a) Review this Offering Package and the underlying execution documents. (b) Complete the Subscription Agreement and Investor &amp; Accreditation Questionnaire. (c) Deliver the executed Subscription via the Carta portal. (d) Complete accreditation verification. (e) Fund by ACH, wire, or certified check. (f) Receive the executed instruments from the Company upon acceptance.</w:t>
      </w:r>
    </w:p>
    <w:p>
      <w:pPr>
        <w:spacing w:after="40" w:before="160"/>
      </w:pPr>
      <w:r>
        <w:rPr>
          <w:rFonts w:ascii="Arial" w:cs="Arial" w:eastAsia="Arial" w:hAnsi="Arial"/>
          <w:b/>
          <w:bCs/>
          <w:color w:val="00AECF"/>
          <w:sz w:val="21"/>
          <w:szCs w:val="21"/>
        </w:rPr>
        <w:t xml:space="preserve">7.5   </w:t>
      </w:r>
      <w:r>
        <w:rPr>
          <w:rFonts w:ascii="Arial" w:cs="Arial" w:eastAsia="Arial" w:hAnsi="Arial"/>
          <w:b/>
          <w:bCs/>
          <w:color w:val="040507"/>
          <w:sz w:val="21"/>
          <w:szCs w:val="21"/>
        </w:rPr>
        <w:t xml:space="preserve">Right to Reject</w:t>
      </w:r>
    </w:p>
    <w:p>
      <w:pPr>
        <w:spacing w:after="120" w:line="276"/>
        <w:jc w:val="left"/>
      </w:pPr>
      <w:r>
        <w:rPr>
          <w:rFonts w:ascii="Arial" w:cs="Arial" w:eastAsia="Arial" w:hAnsi="Arial"/>
          <w:color w:val="040507"/>
          <w:sz w:val="20"/>
          <w:szCs w:val="20"/>
        </w:rPr>
        <w:t xml:space="preserve">The Company reserves the right to reject any subscription in whole or in part, at its sole discretion, without explanation.</w:t>
      </w:r>
    </w:p>
    <w:p>
      <w:r>
        <w:br w:type="page"/>
      </w:r>
    </w:p>
    <w:p>
      <w:pPr>
        <w:spacing w:after="60" w:before="300"/>
      </w:pPr>
      <w:r>
        <w:rPr>
          <w:rFonts w:ascii="Arial" w:cs="Arial" w:eastAsia="Arial" w:hAnsi="Arial"/>
          <w:b/>
          <w:bCs/>
          <w:color w:val="6B7280"/>
          <w:spacing w:val="50"/>
          <w:sz w:val="15"/>
          <w:szCs w:val="15"/>
        </w:rPr>
        <w:t xml:space="preserve">ARTICLE  VIII</w:t>
      </w:r>
    </w:p>
    <w:p>
      <w:pPr>
        <w:pBdr>
          <w:bottom w:val="single" w:color="D9DEE3" w:sz="4" w:space="2"/>
        </w:pBdr>
        <w:spacing w:after="80" w:before="220"/>
      </w:pPr>
      <w:r>
        <w:rPr>
          <w:rFonts w:ascii="Arial" w:cs="Arial" w:eastAsia="Arial" w:hAnsi="Arial"/>
          <w:b/>
          <w:bCs/>
          <w:color w:val="040507"/>
          <w:sz w:val="26"/>
          <w:szCs w:val="26"/>
        </w:rPr>
        <w:t xml:space="preserve">Governing Law &amp; Dispute Resolution</w:t>
      </w:r>
    </w:p>
    <w:p>
      <w:pPr>
        <w:spacing w:after="40" w:before="160"/>
      </w:pPr>
      <w:r>
        <w:rPr>
          <w:rFonts w:ascii="Arial" w:cs="Arial" w:eastAsia="Arial" w:hAnsi="Arial"/>
          <w:b/>
          <w:bCs/>
          <w:color w:val="00AECF"/>
          <w:sz w:val="21"/>
          <w:szCs w:val="21"/>
        </w:rPr>
        <w:t xml:space="preserve">8.1   </w:t>
      </w:r>
      <w:r>
        <w:rPr>
          <w:rFonts w:ascii="Arial" w:cs="Arial" w:eastAsia="Arial" w:hAnsi="Arial"/>
          <w:b/>
          <w:bCs/>
          <w:color w:val="040507"/>
          <w:sz w:val="21"/>
          <w:szCs w:val="21"/>
        </w:rPr>
        <w:t xml:space="preserve">Governing Law</w:t>
      </w:r>
    </w:p>
    <w:p>
      <w:pPr>
        <w:spacing w:after="120" w:line="276"/>
        <w:jc w:val="left"/>
      </w:pPr>
      <w:r>
        <w:rPr>
          <w:rFonts w:ascii="Arial" w:cs="Arial" w:eastAsia="Arial" w:hAnsi="Arial"/>
          <w:color w:val="040507"/>
          <w:sz w:val="20"/>
          <w:szCs w:val="20"/>
        </w:rPr>
        <w:t xml:space="preserve">This Offering Package and all execution documents shall be governed by the laws of the State of Montana, without regard to its conflict of laws provisions.</w:t>
      </w:r>
    </w:p>
    <w:p>
      <w:pPr>
        <w:spacing w:after="40" w:before="160"/>
      </w:pPr>
      <w:r>
        <w:rPr>
          <w:rFonts w:ascii="Arial" w:cs="Arial" w:eastAsia="Arial" w:hAnsi="Arial"/>
          <w:b/>
          <w:bCs/>
          <w:color w:val="00AECF"/>
          <w:sz w:val="21"/>
          <w:szCs w:val="21"/>
        </w:rPr>
        <w:t xml:space="preserve">8.2   </w:t>
      </w:r>
      <w:r>
        <w:rPr>
          <w:rFonts w:ascii="Arial" w:cs="Arial" w:eastAsia="Arial" w:hAnsi="Arial"/>
          <w:b/>
          <w:bCs/>
          <w:color w:val="040507"/>
          <w:sz w:val="21"/>
          <w:szCs w:val="21"/>
        </w:rPr>
        <w:t xml:space="preserve">Binding Arbitration; Jury Trial &amp; Court Access Waiver</w:t>
      </w:r>
    </w:p>
    <w:p>
      <w:pPr>
        <w:spacing w:after="120" w:line="276"/>
        <w:jc w:val="left"/>
      </w:pPr>
      <w:r>
        <w:rPr>
          <w:rFonts w:ascii="Arial" w:cs="Arial" w:eastAsia="Arial" w:hAnsi="Arial"/>
          <w:color w:val="040507"/>
          <w:sz w:val="20"/>
          <w:szCs w:val="20"/>
        </w:rPr>
        <w:t xml:space="preserve">Any dispute arising out of or relating to this Offering Package or any execution document shall be resolved exclusively through binding arbitration administered by the American Arbitration Association (AAA), with proceedings conducted in Missoula, Montana. The arbitrator shall apply Montana law.</w:t>
      </w:r>
    </w:p>
    <w:p>
      <w:pPr>
        <w:pBdr>
          <w:top w:val="single" w:color="00AECF" w:sz="12" w:space="4"/>
          <w:bottom w:val="single" w:color="D9DEE3" w:sz="4" w:space="4"/>
        </w:pBdr>
        <w:shd w:fill="F2F4F6" w:val="clear"/>
        <w:spacing w:after="120" w:before="100" w:line="276"/>
      </w:pPr>
      <w:r>
        <w:rPr>
          <w:rFonts w:ascii="Arial" w:cs="Arial" w:eastAsia="Arial" w:hAnsi="Arial"/>
          <w:b/>
          <w:bCs/>
          <w:color w:val="040507"/>
          <w:spacing w:val="5"/>
          <w:sz w:val="17"/>
          <w:szCs w:val="17"/>
        </w:rPr>
        <w:t xml:space="preserve">THE PARTIES KNOWINGLY AND VOLUNTARILY WAIVE THE RIGHT TO A JURY TRIAL AND THE RIGHT TO ACCESS THE COURTS TO RESOLVE DISPUTES. THE PARTIES KNOWINGLY AGREE TO RESOLVE ALL DISPUTES RELATED TO THIS AGREEMENT THROUGH BINDING ARBITRATION ADMINISTERED BY THE AAA IN MISSOULA, MONTANA. THE PARTIES ACKNOWLEDGE THEY HAVE HAD THE OPPORTUNITY TO DISCUSS THIS ARBITRATION PROVISION WITH COUNSEL.</w:t>
      </w:r>
    </w:p>
    <w:p>
      <w:r>
        <w:br w:type="page"/>
      </w:r>
    </w:p>
    <w:p>
      <w:pPr>
        <w:spacing w:after="60" w:before="300"/>
      </w:pPr>
      <w:r>
        <w:rPr>
          <w:rFonts w:ascii="Arial" w:cs="Arial" w:eastAsia="Arial" w:hAnsi="Arial"/>
          <w:b/>
          <w:bCs/>
          <w:color w:val="6B7280"/>
          <w:spacing w:val="50"/>
          <w:sz w:val="15"/>
          <w:szCs w:val="15"/>
        </w:rPr>
        <w:t xml:space="preserve">ACKNOWLEDGMENT &amp; EXECUTION</w:t>
      </w:r>
    </w:p>
    <w:p>
      <w:pPr>
        <w:pBdr>
          <w:bottom w:val="single" w:color="D9DEE3" w:sz="4" w:space="2"/>
        </w:pBdr>
        <w:spacing w:after="80" w:before="220"/>
      </w:pPr>
      <w:r>
        <w:rPr>
          <w:rFonts w:ascii="Arial" w:cs="Arial" w:eastAsia="Arial" w:hAnsi="Arial"/>
          <w:b/>
          <w:bCs/>
          <w:color w:val="040507"/>
          <w:sz w:val="26"/>
          <w:szCs w:val="26"/>
        </w:rPr>
        <w:t xml:space="preserve">Signature Page</w:t>
      </w:r>
    </w:p>
    <w:p>
      <w:pPr>
        <w:spacing w:after="140" w:line="276"/>
      </w:pPr>
      <w:r>
        <w:rPr>
          <w:rFonts w:ascii="Arial" w:cs="Arial" w:eastAsia="Arial" w:hAnsi="Arial"/>
          <w:i/>
          <w:iCs/>
          <w:color w:val="6B7280"/>
          <w:sz w:val="19"/>
          <w:szCs w:val="19"/>
        </w:rPr>
        <w:t xml:space="preserve">IN WITNESS WHEREOF, the undersigned acknowledges receipt and review of this Offering Package and the execution documents referenced herein, and confirms understanding of the risks set forth in Article V.</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5160"/>
      </w:tblGrid>
      <w:tr>
        <w:tc>
          <w:tcPr>
            <w:tcW w:type="dxa" w:w="4920"/>
            <w:tcBorders>
              <w:top w:val="single" w:color="D9DEE3" w:sz="4" w:space="1"/>
              <w:left w:val="single" w:color="D9DEE3" w:sz="4" w:space="1"/>
              <w:bottom w:val="single" w:color="D9DEE3" w:sz="4" w:space="1"/>
              <w:right w:val="single" w:color="D9DEE3" w:sz="4" w:space="1"/>
            </w:tcBorders>
            <w:tcMar>
              <w:top w:type="dxa" w:w="140"/>
              <w:left w:type="dxa" w:w="180"/>
              <w:bottom w:type="dxa" w:w="160"/>
              <w:right w:type="dxa" w:w="180"/>
            </w:tcMar>
          </w:tcPr>
          <w:p>
            <w:pPr>
              <w:spacing w:after="60"/>
            </w:pPr>
            <w:r>
              <w:rPr>
                <w:rFonts w:ascii="Arial" w:cs="Arial" w:eastAsia="Arial" w:hAnsi="Arial"/>
                <w:b/>
                <w:bCs/>
                <w:color w:val="00AECF"/>
                <w:spacing w:val="25"/>
                <w:sz w:val="14"/>
                <w:szCs w:val="14"/>
              </w:rPr>
              <w:t xml:space="preserve">COMPANY</w:t>
            </w:r>
          </w:p>
          <w:p>
            <w:r>
              <w:rPr>
                <w:rFonts w:ascii="Arial" w:cs="Arial" w:eastAsia="Arial" w:hAnsi="Arial"/>
                <w:b/>
                <w:bCs/>
                <w:i/>
                <w:iCs/>
                <w:color w:val="040507"/>
                <w:sz w:val="20"/>
                <w:szCs w:val="20"/>
              </w:rPr>
              <w:t xml:space="preserve">Music Habitat, Inc.</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BY / NAME — BRANDON BEARD</w:t>
            </w:r>
          </w:p>
          <w:p>
            <w:pPr>
              <w:spacing w:after="0" w:before="20"/>
            </w:pPr>
            <w:r>
              <w:rPr>
                <w:rFonts w:ascii="Arial" w:cs="Arial" w:eastAsia="Arial" w:hAnsi="Arial"/>
                <w:color w:val="6B7280"/>
                <w:spacing w:val="20"/>
                <w:sz w:val="13"/>
                <w:szCs w:val="13"/>
              </w:rPr>
              <w:t xml:space="preserve">TITLE — FOUNDER &amp; CEO</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DATE</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EMAIL</w:t>
            </w:r>
          </w:p>
        </w:tc>
        <w:tc>
          <w:tcPr>
            <w:tcW w:type="dxa" w:w="4920"/>
            <w:tcBorders>
              <w:top w:val="single" w:color="D9DEE3" w:sz="4" w:space="1"/>
              <w:left w:val="single" w:color="D9DEE3" w:sz="4" w:space="1"/>
              <w:bottom w:val="single" w:color="D9DEE3" w:sz="4" w:space="1"/>
              <w:right w:val="single" w:color="D9DEE3" w:sz="4" w:space="1"/>
            </w:tcBorders>
            <w:tcMar>
              <w:top w:type="dxa" w:w="140"/>
              <w:left w:type="dxa" w:w="180"/>
              <w:bottom w:type="dxa" w:w="160"/>
              <w:right w:type="dxa" w:w="180"/>
            </w:tcMar>
          </w:tcPr>
          <w:p>
            <w:pPr>
              <w:spacing w:after="60"/>
            </w:pPr>
            <w:r>
              <w:rPr>
                <w:rFonts w:ascii="Arial" w:cs="Arial" w:eastAsia="Arial" w:hAnsi="Arial"/>
                <w:b/>
                <w:bCs/>
                <w:color w:val="00AECF"/>
                <w:spacing w:val="25"/>
                <w:sz w:val="14"/>
                <w:szCs w:val="14"/>
              </w:rPr>
              <w:t xml:space="preserve">INVESTOR</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NAME</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SIGNATURE</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DATE</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RELATIONSHIP / REFERRAL SOURCE</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EMAIL</w:t>
            </w:r>
          </w:p>
          <w:p>
            <w:pPr>
              <w:pBdr>
                <w:bottom w:val="single" w:color="040507" w:sz="4" w:space="6"/>
              </w:pBdr>
              <w:spacing w:after="0" w:before="140"/>
            </w:pPr>
            <w:r>
              <w:rPr>
                <w:rFonts w:ascii="Arial" w:cs="Arial" w:eastAsia="Arial" w:hAnsi="Arial"/>
                <w:sz w:val="20"/>
                <w:szCs w:val="20"/>
              </w:rPr>
              <w:t xml:space="preserve"> </w:t>
            </w:r>
          </w:p>
          <w:p>
            <w:pPr>
              <w:spacing w:after="0" w:before="20"/>
            </w:pPr>
            <w:r>
              <w:rPr>
                <w:rFonts w:ascii="Arial" w:cs="Arial" w:eastAsia="Arial" w:hAnsi="Arial"/>
                <w:color w:val="6B7280"/>
                <w:spacing w:val="20"/>
                <w:sz w:val="13"/>
                <w:szCs w:val="13"/>
              </w:rPr>
              <w:t xml:space="preserve">ADDRESS</w:t>
            </w:r>
          </w:p>
        </w:tc>
      </w:tr>
    </w:tbl>
    <w:sectPr>
      <w:headerReference w:type="default" r:id="rId7"/>
      <w:headerReference w:type="first" r:id="rId8"/>
      <w:footerReference w:type="default" r:id="rId9"/>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4" w:space="2"/>
      </w:pBdr>
      <w:tabs>
        <w:tab w:val="center" w:pos="5040"/>
        <w:tab w:val="right" w:pos="10080"/>
      </w:tabs>
      <w:spacing w:before="40"/>
    </w:pPr>
    <w:r>
      <w:rPr>
        <w:rFonts w:ascii="Arial" w:cs="Arial" w:eastAsia="Arial" w:hAnsi="Arial"/>
        <w:b/>
        <w:bCs/>
        <w:color w:val="040507"/>
        <w:spacing w:val="15"/>
        <w:sz w:val="12"/>
        <w:szCs w:val="12"/>
      </w:rPr>
      <w:t xml:space="preserve">MUSIC HABITAT, INC.</w:t>
    </w:r>
    <w:r>
      <w:rPr>
        <w:rFonts w:ascii="Arial" w:cs="Arial" w:eastAsia="Arial" w:hAnsi="Arial"/>
        <w:color w:val="6B7280"/>
        <w:sz w:val="12"/>
        <w:szCs w:val="12"/>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Arial" w:cs="Arial" w:eastAsia="Arial" w:hAnsi="Arial"/>
        <w:color w:val="6B7280"/>
        <w:spacing w:val="15"/>
        <w:sz w:val="12"/>
        <w:szCs w:val="12"/>
      </w:rPr>
      <w:t xml:space="preserve">	OFFERING PACKAGE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3" w:sz="4" w:space="2"/>
      </w:pBdr>
      <w:tabs>
        <w:tab w:val="right" w:pos="10080"/>
      </w:tabs>
      <w:spacing w:after="60"/>
    </w:pPr>
    <w:r>
      <w:drawing>
        <wp:inline distT="0" distB="0" distL="0" distR="0">
          <wp:extent cx="29527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95275" cy="152400"/>
                  </a:xfrm>
                  <a:prstGeom prst="rect">
                    <a:avLst/>
                  </a:prstGeom>
                </pic:spPr>
              </pic:pic>
            </a:graphicData>
          </a:graphic>
        </wp:inline>
      </w:drawing>
    </w:r>
    <w:r>
      <w:rPr>
        <w:rFonts w:ascii="Arial" w:cs="Arial" w:eastAsia="Arial" w:hAnsi="Arial"/>
        <w:sz w:val="14"/>
        <w:szCs w:val="14"/>
      </w:rPr>
      <w:t xml:space="preserve">  </w:t>
    </w:r>
    <w:r>
      <w:rPr>
        <w:rFonts w:ascii="Arial" w:cs="Arial" w:eastAsia="Arial" w:hAnsi="Arial"/>
        <w:b/>
        <w:bCs/>
        <w:color w:val="040507"/>
        <w:spacing w:val="20"/>
        <w:sz w:val="14"/>
        <w:szCs w:val="14"/>
      </w:rPr>
      <w:t xml:space="preserve">MUSIC HABITAT, INC.</w:t>
    </w:r>
    <w:r>
      <w:rPr>
        <w:rFonts w:ascii="Arial" w:cs="Arial" w:eastAsia="Arial" w:hAnsi="Arial"/>
        <w:color w:val="6B7280"/>
        <w:spacing w:val="15"/>
        <w:sz w:val="13"/>
        <w:szCs w:val="13"/>
      </w:rPr>
      <w:t xml:space="preserve">	OFFERING PACKAGE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CF" w:sz="8" w:space="2"/>
      </w:pBdr>
      <w:tabs>
        <w:tab w:val="right" w:pos="10080"/>
      </w:tabs>
      <w:spacing w:after="60"/>
    </w:pPr>
    <w:r>
      <w:drawing>
        <wp:inline distT="0" distB="0" distL="0" distR="0">
          <wp:extent cx="4000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20955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b/>
        <w:bCs/>
        <w:color w:val="040507"/>
        <w:spacing w:val="30"/>
        <w:sz w:val="16"/>
        <w:szCs w:val="16"/>
      </w:rPr>
      <w:t xml:space="preserve">MUSIC HABITAT, INC.</w:t>
    </w:r>
    <w:r>
      <w:rPr>
        <w:rFonts w:ascii="Arial" w:cs="Arial" w:eastAsia="Arial" w:hAnsi="Arial"/>
        <w:color w:val="6B7280"/>
        <w:spacing w:val="20"/>
        <w:sz w:val="14"/>
        <w:szCs w:val="14"/>
      </w:rPr>
      <w:t xml:space="preserve">	WWW.MUSICHABITAT.COM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4050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0311de954a693beffb4fdd27b03139196caf285.png"/></Relationships>
</file>

<file path=word/_rels/header2.xml.rels><?xml version="1.0" encoding="UTF-8"?><Relationships xmlns="http://schemas.openxmlformats.org/package/2006/relationships"><Relationship Id="rId0" Type="http://schemas.openxmlformats.org/officeDocument/2006/relationships/image" Target="media/10311de954a693beffb4fdd27b03139196caf28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2026-06-09T21:03:05.891Z</dcterms:created>
  <dcterms:modified xsi:type="dcterms:W3CDTF">2026-06-09T21:03:05.909Z</dcterms:modified>
</cp:coreProperties>
</file>

<file path=docProps/custom.xml><?xml version="1.0" encoding="utf-8"?>
<Properties xmlns="http://schemas.openxmlformats.org/officeDocument/2006/custom-properties" xmlns:vt="http://schemas.openxmlformats.org/officeDocument/2006/docPropsVTypes"/>
</file>