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before="120"/>
      </w:pPr>
      <w:r>
        <w:rPr>
          <w:rFonts w:ascii="Arial" w:cs="Arial" w:eastAsia="Arial" w:hAnsi="Arial"/>
          <w:b/>
          <w:bCs/>
          <w:color w:val="00AECF"/>
          <w:spacing w:val="35"/>
          <w:sz w:val="15"/>
          <w:szCs w:val="15"/>
        </w:rPr>
        <w:t xml:space="preserve">TRANSACTION INSTRUMENT  ·  CONFIDENTIAL</w:t>
      </w:r>
    </w:p>
    <w:p>
      <w:pPr>
        <w:spacing w:after="80"/>
      </w:pPr>
      <w:r>
        <w:rPr>
          <w:rFonts w:ascii="Arial" w:cs="Arial" w:eastAsia="Arial" w:hAnsi="Arial"/>
          <w:b/>
          <w:bCs/>
          <w:color w:val="040507"/>
          <w:spacing w:val="10"/>
          <w:sz w:val="52"/>
          <w:szCs w:val="52"/>
        </w:rPr>
        <w:t xml:space="preserve">STOCK PURCHASE &amp; TRANSFER AGREEMENT.</w:t>
      </w:r>
    </w:p>
    <w:p>
      <w:pPr>
        <w:spacing w:after="140" w:line="276"/>
      </w:pPr>
      <w:r>
        <w:rPr>
          <w:rFonts w:ascii="Arial" w:cs="Arial" w:eastAsia="Arial" w:hAnsi="Arial"/>
          <w:i/>
          <w:iCs/>
          <w:color w:val="6B7280"/>
          <w:sz w:val="19"/>
          <w:szCs w:val="19"/>
        </w:rPr>
        <w:t xml:space="preserve">This form governs (a) the Company’s issuance of new Shares in a priced equity round, and (b) any secondary Transfer of existing Shares between Stockholders or to third parties, subject to the Stockholders’ Agreement. Used in connection with the Private Raise (Accredited, Rule 506(c)) and subsequent rounds.</w:t>
      </w:r>
    </w:p>
    <w:p>
      <w:pPr>
        <w:spacing w:after="120" w:before="12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tcW w:type="dxa" w:w="5040"/>
            <w:tcBorders>
              <w:top w:val="single" w:color="D9DEE3" w:sz="4" w:space="1"/>
              <w:left w:val="single" w:color="D9DEE3" w:sz="4" w:space="1"/>
              <w:bottom w:val="single" w:color="D9DEE3" w:sz="4" w:space="1"/>
              <w:right w:val="single" w:color="D9DEE3" w:sz="4" w:space="1"/>
            </w:tcBorders>
            <w:tcMar>
              <w:top w:type="dxa" w:w="100"/>
              <w:left w:type="dxa" w:w="160"/>
              <w:bottom w:type="dxa" w:w="100"/>
              <w:right w:type="dxa" w:w="160"/>
            </w:tcMar>
          </w:tcPr>
          <w:p>
            <w:pPr>
              <w:spacing w:after="20"/>
            </w:pPr>
            <w:r>
              <w:rPr>
                <w:rFonts w:ascii="Arial" w:cs="Arial" w:eastAsia="Arial" w:hAnsi="Arial"/>
                <w:b/>
                <w:bCs/>
                <w:color w:val="6B7280"/>
                <w:spacing w:val="25"/>
                <w:sz w:val="14"/>
                <w:szCs w:val="14"/>
              </w:rPr>
              <w:t xml:space="preserve">COMPANY</w:t>
            </w:r>
          </w:p>
          <w:p>
            <w:r>
              <w:rPr>
                <w:rFonts w:ascii="Arial" w:cs="Arial" w:eastAsia="Arial" w:hAnsi="Arial"/>
                <w:b/>
                <w:bCs/>
                <w:color w:val="040507"/>
                <w:sz w:val="21"/>
                <w:szCs w:val="21"/>
              </w:rPr>
              <w:t xml:space="preserve">Music Habitat, Inc. (Montana)</w:t>
            </w:r>
          </w:p>
        </w:tc>
        <w:tc>
          <w:tcPr>
            <w:tcW w:type="dxa" w:w="5040"/>
            <w:tcBorders>
              <w:top w:val="single" w:color="D9DEE3" w:sz="4" w:space="1"/>
              <w:left w:val="single" w:color="D9DEE3" w:sz="4" w:space="1"/>
              <w:bottom w:val="single" w:color="D9DEE3" w:sz="4" w:space="1"/>
              <w:right w:val="single" w:color="D9DEE3" w:sz="4" w:space="1"/>
            </w:tcBorders>
            <w:tcMar>
              <w:top w:type="dxa" w:w="100"/>
              <w:left w:type="dxa" w:w="160"/>
              <w:bottom w:type="dxa" w:w="100"/>
              <w:right w:type="dxa" w:w="160"/>
            </w:tcMar>
          </w:tcPr>
          <w:p>
            <w:pPr>
              <w:spacing w:after="20"/>
            </w:pPr>
            <w:r>
              <w:rPr>
                <w:rFonts w:ascii="Arial" w:cs="Arial" w:eastAsia="Arial" w:hAnsi="Arial"/>
                <w:b/>
                <w:bCs/>
                <w:color w:val="6B7280"/>
                <w:spacing w:val="25"/>
                <w:sz w:val="14"/>
                <w:szCs w:val="14"/>
              </w:rPr>
              <w:t xml:space="preserve">USE</w:t>
            </w:r>
          </w:p>
          <w:p>
            <w:r>
              <w:rPr>
                <w:rFonts w:ascii="Arial" w:cs="Arial" w:eastAsia="Arial" w:hAnsi="Arial"/>
                <w:b/>
                <w:bCs/>
                <w:color w:val="040507"/>
                <w:sz w:val="21"/>
                <w:szCs w:val="21"/>
              </w:rPr>
              <w:t xml:space="preserve">Priced Equity Rounds &amp; Secondary Transfers</w:t>
            </w:r>
          </w:p>
        </w:tc>
      </w:tr>
      <w:tr>
        <w:tc>
          <w:tcPr>
            <w:tcW w:type="dxa" w:w="5040"/>
            <w:tcBorders>
              <w:top w:val="single" w:color="D9DEE3" w:sz="4" w:space="1"/>
              <w:left w:val="single" w:color="D9DEE3" w:sz="4" w:space="1"/>
              <w:bottom w:val="single" w:color="D9DEE3" w:sz="4" w:space="1"/>
              <w:right w:val="single" w:color="D9DEE3" w:sz="4" w:space="1"/>
            </w:tcBorders>
            <w:tcMar>
              <w:top w:type="dxa" w:w="100"/>
              <w:left w:type="dxa" w:w="160"/>
              <w:bottom w:type="dxa" w:w="100"/>
              <w:right w:type="dxa" w:w="160"/>
            </w:tcMar>
          </w:tcPr>
          <w:p>
            <w:pPr>
              <w:spacing w:after="20"/>
            </w:pPr>
            <w:r>
              <w:rPr>
                <w:rFonts w:ascii="Arial" w:cs="Arial" w:eastAsia="Arial" w:hAnsi="Arial"/>
                <w:b/>
                <w:bCs/>
                <w:color w:val="6B7280"/>
                <w:spacing w:val="25"/>
                <w:sz w:val="14"/>
                <w:szCs w:val="14"/>
              </w:rPr>
              <w:t xml:space="preserve">SHARE CLASS</w:t>
            </w:r>
          </w:p>
          <w:p>
            <w:r>
              <w:rPr>
                <w:rFonts w:ascii="Arial" w:cs="Arial" w:eastAsia="Arial" w:hAnsi="Arial"/>
                <w:b/>
                <w:bCs/>
                <w:color w:val="040507"/>
                <w:sz w:val="21"/>
                <w:szCs w:val="21"/>
              </w:rPr>
              <w:t xml:space="preserve">As specified per transaction</w:t>
            </w:r>
          </w:p>
        </w:tc>
        <w:tc>
          <w:tcPr>
            <w:tcW w:type="dxa" w:w="5040"/>
            <w:tcBorders>
              <w:top w:val="single" w:color="D9DEE3" w:sz="4" w:space="1"/>
              <w:left w:val="single" w:color="D9DEE3" w:sz="4" w:space="1"/>
              <w:bottom w:val="single" w:color="D9DEE3" w:sz="4" w:space="1"/>
              <w:right w:val="single" w:color="D9DEE3" w:sz="4" w:space="1"/>
            </w:tcBorders>
            <w:tcMar>
              <w:top w:type="dxa" w:w="100"/>
              <w:left w:type="dxa" w:w="160"/>
              <w:bottom w:type="dxa" w:w="100"/>
              <w:right w:type="dxa" w:w="160"/>
            </w:tcMar>
          </w:tcPr>
          <w:p>
            <w:pPr>
              <w:spacing w:after="20"/>
            </w:pPr>
            <w:r>
              <w:rPr>
                <w:rFonts w:ascii="Arial" w:cs="Arial" w:eastAsia="Arial" w:hAnsi="Arial"/>
                <w:b/>
                <w:bCs/>
                <w:color w:val="6B7280"/>
                <w:spacing w:val="25"/>
                <w:sz w:val="14"/>
                <w:szCs w:val="14"/>
              </w:rPr>
              <w:t xml:space="preserve">GOVERNING LAW</w:t>
            </w:r>
          </w:p>
          <w:p>
            <w:r>
              <w:rPr>
                <w:rFonts w:ascii="Arial" w:cs="Arial" w:eastAsia="Arial" w:hAnsi="Arial"/>
                <w:b/>
                <w:bCs/>
                <w:color w:val="040507"/>
                <w:sz w:val="21"/>
                <w:szCs w:val="21"/>
              </w:rPr>
              <w:t xml:space="preserve">Montana · AAA Missoula</w:t>
            </w:r>
          </w:p>
        </w:tc>
      </w:tr>
    </w:tbl>
    <w:p>
      <w:pPr>
        <w:tabs>
          <w:tab w:val="right" w:pos="10080"/>
        </w:tabs>
        <w:spacing w:before="160"/>
      </w:pPr>
      <w:r>
        <w:rPr>
          <w:rFonts w:ascii="Arial" w:cs="Arial" w:eastAsia="Arial" w:hAnsi="Arial"/>
          <w:b/>
          <w:bCs/>
          <w:color w:val="040507"/>
          <w:spacing w:val="20"/>
          <w:sz w:val="14"/>
          <w:szCs w:val="14"/>
        </w:rPr>
        <w:t xml:space="preserve">DRAFTED: JUNE 2026</w:t>
      </w:r>
      <w:r>
        <w:rPr>
          <w:rFonts w:ascii="Arial" w:cs="Arial" w:eastAsia="Arial" w:hAnsi="Arial"/>
          <w:color w:val="6B7280"/>
          <w:spacing w:val="15"/>
          <w:sz w:val="13"/>
          <w:szCs w:val="13"/>
        </w:rPr>
        <w:t xml:space="preserve">	CONFIDENTIAL — COMPLETE ALL EXHIBITS BEFORE EXECUTION</w:t>
      </w:r>
    </w:p>
    <w:p>
      <w:r>
        <w:br w:type="page"/>
      </w:r>
    </w:p>
    <w:p>
      <w:pPr>
        <w:spacing w:after="60" w:before="300"/>
      </w:pPr>
      <w:r>
        <w:rPr>
          <w:rFonts w:ascii="Arial" w:cs="Arial" w:eastAsia="Arial" w:hAnsi="Arial"/>
          <w:b/>
          <w:bCs/>
          <w:color w:val="6B7280"/>
          <w:spacing w:val="50"/>
          <w:sz w:val="15"/>
          <w:szCs w:val="15"/>
        </w:rPr>
        <w:t xml:space="preserve">ARTICLE  1</w:t>
      </w:r>
    </w:p>
    <w:p>
      <w:pPr>
        <w:pBdr>
          <w:bottom w:val="single" w:color="D9DEE3" w:sz="4" w:space="2"/>
        </w:pBdr>
        <w:spacing w:after="80" w:before="220"/>
      </w:pPr>
      <w:r>
        <w:rPr>
          <w:rFonts w:ascii="Arial" w:cs="Arial" w:eastAsia="Arial" w:hAnsi="Arial"/>
          <w:b/>
          <w:bCs/>
          <w:color w:val="040507"/>
          <w:sz w:val="26"/>
          <w:szCs w:val="26"/>
        </w:rPr>
        <w:t xml:space="preserve">Definitions</w:t>
      </w:r>
    </w:p>
    <w:p>
      <w:pPr>
        <w:spacing w:after="120" w:line="276"/>
        <w:jc w:val="both"/>
      </w:pPr>
      <w:r>
        <w:rPr>
          <w:rFonts w:ascii="Arial" w:cs="Arial" w:eastAsia="Arial" w:hAnsi="Arial"/>
          <w:color w:val="040507"/>
          <w:sz w:val="20"/>
          <w:szCs w:val="20"/>
        </w:rPr>
        <w:t xml:space="preserve">This Stock Purchase and Transfer Agreement (this “Agreement”) is entered into as of the date set forth on the signature page, by and between the party identified as “Seller” on the signature page (the “Seller”), the party identified as “Buyer” on the signature page (the “Buyer”), and Music Habitat, Inc., a Montana corporation (the “Company”), which is joining solely for the purposes of Sections 3, 6, and 8.</w:t>
      </w:r>
    </w:p>
    <w:p>
      <w:pPr>
        <w:spacing w:after="100" w:line="264"/>
      </w:pPr>
      <w:r>
        <w:rPr>
          <w:rFonts w:ascii="Arial" w:cs="Arial" w:eastAsia="Arial" w:hAnsi="Arial"/>
          <w:b/>
          <w:bCs/>
          <w:i/>
          <w:iCs/>
          <w:color w:val="040507"/>
          <w:sz w:val="20"/>
          <w:szCs w:val="20"/>
        </w:rPr>
        <w:t xml:space="preserve">“Shares” </w:t>
      </w:r>
      <w:r>
        <w:rPr>
          <w:rFonts w:ascii="Arial" w:cs="Arial" w:eastAsia="Arial" w:hAnsi="Arial"/>
          <w:b/>
          <w:bCs/>
          <w:color w:val="00AECF"/>
          <w:sz w:val="18"/>
          <w:szCs w:val="18"/>
        </w:rPr>
        <w:t xml:space="preserve">means  </w:t>
      </w:r>
      <w:r>
        <w:rPr>
          <w:rFonts w:ascii="Arial" w:cs="Arial" w:eastAsia="Arial" w:hAnsi="Arial"/>
          <w:color w:val="040507"/>
          <w:sz w:val="20"/>
          <w:szCs w:val="20"/>
        </w:rPr>
        <w:t xml:space="preserve">The shares of the Company’s capital stock being purchased and sold pursuant to this Agreement, as specified on Exhibit A (Transaction Summary).</w:t>
      </w:r>
    </w:p>
    <w:p>
      <w:pPr>
        <w:spacing w:after="100" w:line="264"/>
      </w:pPr>
      <w:r>
        <w:rPr>
          <w:rFonts w:ascii="Arial" w:cs="Arial" w:eastAsia="Arial" w:hAnsi="Arial"/>
          <w:b/>
          <w:bCs/>
          <w:i/>
          <w:iCs/>
          <w:color w:val="040507"/>
          <w:sz w:val="20"/>
          <w:szCs w:val="20"/>
        </w:rPr>
        <w:t xml:space="preserve">“Purchase Price” </w:t>
      </w:r>
      <w:r>
        <w:rPr>
          <w:rFonts w:ascii="Arial" w:cs="Arial" w:eastAsia="Arial" w:hAnsi="Arial"/>
          <w:b/>
          <w:bCs/>
          <w:color w:val="00AECF"/>
          <w:sz w:val="18"/>
          <w:szCs w:val="18"/>
        </w:rPr>
        <w:t xml:space="preserve">means  </w:t>
      </w:r>
      <w:r>
        <w:rPr>
          <w:rFonts w:ascii="Arial" w:cs="Arial" w:eastAsia="Arial" w:hAnsi="Arial"/>
          <w:color w:val="040507"/>
          <w:sz w:val="20"/>
          <w:szCs w:val="20"/>
        </w:rPr>
        <w:t xml:space="preserve">The total consideration to be paid by Buyer for the Shares, as specified on Exhibit A.</w:t>
      </w:r>
    </w:p>
    <w:p>
      <w:pPr>
        <w:spacing w:after="100" w:line="264"/>
      </w:pPr>
      <w:r>
        <w:rPr>
          <w:rFonts w:ascii="Arial" w:cs="Arial" w:eastAsia="Arial" w:hAnsi="Arial"/>
          <w:b/>
          <w:bCs/>
          <w:i/>
          <w:iCs/>
          <w:color w:val="040507"/>
          <w:sz w:val="20"/>
          <w:szCs w:val="20"/>
        </w:rPr>
        <w:t xml:space="preserve">“Price Per Share” </w:t>
      </w:r>
      <w:r>
        <w:rPr>
          <w:rFonts w:ascii="Arial" w:cs="Arial" w:eastAsia="Arial" w:hAnsi="Arial"/>
          <w:b/>
          <w:bCs/>
          <w:color w:val="00AECF"/>
          <w:sz w:val="18"/>
          <w:szCs w:val="18"/>
        </w:rPr>
        <w:t xml:space="preserve">means  </w:t>
      </w:r>
      <w:r>
        <w:rPr>
          <w:rFonts w:ascii="Arial" w:cs="Arial" w:eastAsia="Arial" w:hAnsi="Arial"/>
          <w:color w:val="040507"/>
          <w:sz w:val="20"/>
          <w:szCs w:val="20"/>
        </w:rPr>
        <w:t xml:space="preserve">The per-share purchase price as specified on Exhibit A.</w:t>
      </w:r>
    </w:p>
    <w:p>
      <w:pPr>
        <w:spacing w:after="100" w:line="264"/>
      </w:pPr>
      <w:r>
        <w:rPr>
          <w:rFonts w:ascii="Arial" w:cs="Arial" w:eastAsia="Arial" w:hAnsi="Arial"/>
          <w:b/>
          <w:bCs/>
          <w:i/>
          <w:iCs/>
          <w:color w:val="040507"/>
          <w:sz w:val="20"/>
          <w:szCs w:val="20"/>
        </w:rPr>
        <w:t xml:space="preserve">“Closing” </w:t>
      </w:r>
      <w:r>
        <w:rPr>
          <w:rFonts w:ascii="Arial" w:cs="Arial" w:eastAsia="Arial" w:hAnsi="Arial"/>
          <w:b/>
          <w:bCs/>
          <w:color w:val="00AECF"/>
          <w:sz w:val="18"/>
          <w:szCs w:val="18"/>
        </w:rPr>
        <w:t xml:space="preserve">means  </w:t>
      </w:r>
      <w:r>
        <w:rPr>
          <w:rFonts w:ascii="Arial" w:cs="Arial" w:eastAsia="Arial" w:hAnsi="Arial"/>
          <w:color w:val="040507"/>
          <w:sz w:val="20"/>
          <w:szCs w:val="20"/>
        </w:rPr>
        <w:t xml:space="preserve">The consummation of the purchase and sale of the Shares pursuant to Article 6 of this Agreement.</w:t>
      </w:r>
    </w:p>
    <w:p>
      <w:pPr>
        <w:spacing w:after="100" w:line="264"/>
      </w:pPr>
      <w:r>
        <w:rPr>
          <w:rFonts w:ascii="Arial" w:cs="Arial" w:eastAsia="Arial" w:hAnsi="Arial"/>
          <w:b/>
          <w:bCs/>
          <w:i/>
          <w:iCs/>
          <w:color w:val="040507"/>
          <w:sz w:val="20"/>
          <w:szCs w:val="20"/>
        </w:rPr>
        <w:t xml:space="preserve">“Closing Date” </w:t>
      </w:r>
      <w:r>
        <w:rPr>
          <w:rFonts w:ascii="Arial" w:cs="Arial" w:eastAsia="Arial" w:hAnsi="Arial"/>
          <w:b/>
          <w:bCs/>
          <w:color w:val="00AECF"/>
          <w:sz w:val="18"/>
          <w:szCs w:val="18"/>
        </w:rPr>
        <w:t xml:space="preserve">means  </w:t>
      </w:r>
      <w:r>
        <w:rPr>
          <w:rFonts w:ascii="Arial" w:cs="Arial" w:eastAsia="Arial" w:hAnsi="Arial"/>
          <w:color w:val="040507"/>
          <w:sz w:val="20"/>
          <w:szCs w:val="20"/>
        </w:rPr>
        <w:t xml:space="preserve">The date on which the Closing occurs, as specified in Article 6 or agreed upon in writing by the parties.</w:t>
      </w:r>
    </w:p>
    <w:p>
      <w:pPr>
        <w:spacing w:after="100" w:line="264"/>
      </w:pPr>
      <w:r>
        <w:rPr>
          <w:rFonts w:ascii="Arial" w:cs="Arial" w:eastAsia="Arial" w:hAnsi="Arial"/>
          <w:b/>
          <w:bCs/>
          <w:i/>
          <w:iCs/>
          <w:color w:val="040507"/>
          <w:sz w:val="20"/>
          <w:szCs w:val="20"/>
        </w:rPr>
        <w:t xml:space="preserve">“Transaction Type” </w:t>
      </w:r>
      <w:r>
        <w:rPr>
          <w:rFonts w:ascii="Arial" w:cs="Arial" w:eastAsia="Arial" w:hAnsi="Arial"/>
          <w:b/>
          <w:bCs/>
          <w:color w:val="00AECF"/>
          <w:sz w:val="18"/>
          <w:szCs w:val="18"/>
        </w:rPr>
        <w:t xml:space="preserve">means  </w:t>
      </w:r>
      <w:r>
        <w:rPr>
          <w:rFonts w:ascii="Arial" w:cs="Arial" w:eastAsia="Arial" w:hAnsi="Arial"/>
          <w:color w:val="040507"/>
          <w:sz w:val="20"/>
          <w:szCs w:val="20"/>
        </w:rPr>
        <w:t xml:space="preserve">Either (i) a Primary Issuance (Company issuing new Shares to Buyer) or (ii) a Secondary Transfer (Seller transferring existing Shares to Buyer), as indicated on Exhibit A.</w:t>
      </w:r>
    </w:p>
    <w:p>
      <w:pPr>
        <w:spacing w:after="100" w:line="264"/>
      </w:pPr>
      <w:r>
        <w:rPr>
          <w:rFonts w:ascii="Arial" w:cs="Arial" w:eastAsia="Arial" w:hAnsi="Arial"/>
          <w:b/>
          <w:bCs/>
          <w:i/>
          <w:iCs/>
          <w:color w:val="040507"/>
          <w:sz w:val="20"/>
          <w:szCs w:val="20"/>
        </w:rPr>
        <w:t xml:space="preserve">“Stockholders’ Agreement” </w:t>
      </w:r>
      <w:r>
        <w:rPr>
          <w:rFonts w:ascii="Arial" w:cs="Arial" w:eastAsia="Arial" w:hAnsi="Arial"/>
          <w:b/>
          <w:bCs/>
          <w:color w:val="00AECF"/>
          <w:sz w:val="18"/>
          <w:szCs w:val="18"/>
        </w:rPr>
        <w:t xml:space="preserve">means  </w:t>
      </w:r>
      <w:r>
        <w:rPr>
          <w:rFonts w:ascii="Arial" w:cs="Arial" w:eastAsia="Arial" w:hAnsi="Arial"/>
          <w:color w:val="040507"/>
          <w:sz w:val="20"/>
          <w:szCs w:val="20"/>
        </w:rPr>
        <w:t xml:space="preserve">The Stockholders’ Agreement of the Company dated __________, as amended.</w:t>
      </w:r>
    </w:p>
    <w:p>
      <w:r>
        <w:br w:type="page"/>
      </w:r>
    </w:p>
    <w:p>
      <w:pPr>
        <w:spacing w:after="60" w:before="300"/>
      </w:pPr>
      <w:r>
        <w:rPr>
          <w:rFonts w:ascii="Arial" w:cs="Arial" w:eastAsia="Arial" w:hAnsi="Arial"/>
          <w:b/>
          <w:bCs/>
          <w:color w:val="6B7280"/>
          <w:spacing w:val="50"/>
          <w:sz w:val="15"/>
          <w:szCs w:val="15"/>
        </w:rPr>
        <w:t xml:space="preserve">ARTICLE  2</w:t>
      </w:r>
    </w:p>
    <w:p>
      <w:pPr>
        <w:pBdr>
          <w:bottom w:val="single" w:color="D9DEE3" w:sz="4" w:space="2"/>
        </w:pBdr>
        <w:spacing w:after="80" w:before="220"/>
      </w:pPr>
      <w:r>
        <w:rPr>
          <w:rFonts w:ascii="Arial" w:cs="Arial" w:eastAsia="Arial" w:hAnsi="Arial"/>
          <w:b/>
          <w:bCs/>
          <w:color w:val="040507"/>
          <w:sz w:val="26"/>
          <w:szCs w:val="26"/>
        </w:rPr>
        <w:t xml:space="preserve">Purchase and Sale</w:t>
      </w:r>
    </w:p>
    <w:p>
      <w:pPr>
        <w:spacing w:after="40" w:before="160"/>
      </w:pPr>
      <w:r>
        <w:rPr>
          <w:rFonts w:ascii="Arial" w:cs="Arial" w:eastAsia="Arial" w:hAnsi="Arial"/>
          <w:b/>
          <w:bCs/>
          <w:color w:val="00AECF"/>
          <w:sz w:val="21"/>
          <w:szCs w:val="21"/>
        </w:rPr>
        <w:t xml:space="preserve">2.1   </w:t>
      </w:r>
      <w:r>
        <w:rPr>
          <w:rFonts w:ascii="Arial" w:cs="Arial" w:eastAsia="Arial" w:hAnsi="Arial"/>
          <w:b/>
          <w:bCs/>
          <w:color w:val="040507"/>
          <w:sz w:val="21"/>
          <w:szCs w:val="21"/>
        </w:rPr>
        <w:t xml:space="preserve">Agreement to Purchase and Sell</w:t>
      </w:r>
    </w:p>
    <w:p>
      <w:pPr>
        <w:spacing w:after="120" w:line="276"/>
        <w:jc w:val="left"/>
      </w:pPr>
      <w:r>
        <w:rPr>
          <w:rFonts w:ascii="Arial" w:cs="Arial" w:eastAsia="Arial" w:hAnsi="Arial"/>
          <w:color w:val="040507"/>
          <w:sz w:val="20"/>
          <w:szCs w:val="20"/>
        </w:rPr>
        <w:t xml:space="preserve">Subject to the terms and conditions of this Agreement, Seller agrees to sell, transfer, and deliver to Buyer, and Buyer agrees to purchase from Seller, the Shares at the Purchase Price, free and clear of all liens, pledges, security interests, and encumbrances, other than restrictions imposed by this Agreement, the Stockholders’ Agreement, and applicable securities laws.</w:t>
      </w:r>
    </w:p>
    <w:p>
      <w:pPr>
        <w:spacing w:after="40" w:before="160"/>
      </w:pPr>
      <w:r>
        <w:rPr>
          <w:rFonts w:ascii="Arial" w:cs="Arial" w:eastAsia="Arial" w:hAnsi="Arial"/>
          <w:b/>
          <w:bCs/>
          <w:color w:val="00AECF"/>
          <w:sz w:val="21"/>
          <w:szCs w:val="21"/>
        </w:rPr>
        <w:t xml:space="preserve">2.2   </w:t>
      </w:r>
      <w:r>
        <w:rPr>
          <w:rFonts w:ascii="Arial" w:cs="Arial" w:eastAsia="Arial" w:hAnsi="Arial"/>
          <w:b/>
          <w:bCs/>
          <w:color w:val="040507"/>
          <w:sz w:val="21"/>
          <w:szCs w:val="21"/>
        </w:rPr>
        <w:t xml:space="preserve">Purchase Price; Payment</w:t>
      </w:r>
    </w:p>
    <w:p>
      <w:pPr>
        <w:spacing w:after="120" w:line="276"/>
        <w:jc w:val="left"/>
      </w:pPr>
      <w:r>
        <w:rPr>
          <w:rFonts w:ascii="Arial" w:cs="Arial" w:eastAsia="Arial" w:hAnsi="Arial"/>
          <w:color w:val="040507"/>
          <w:sz w:val="20"/>
          <w:szCs w:val="20"/>
        </w:rPr>
        <w:t xml:space="preserve">The Purchase Price shall be as set forth on Exhibit A. At Closing, Buyer shall pay the Purchase Price to Seller (or, in the case of a Primary Issuance, to the Company) by wire transfer of immediately available funds to the account designated in writing by Seller/Company not less than two (2) business days before the Closing Date.</w:t>
      </w:r>
    </w:p>
    <w:p>
      <w:pPr>
        <w:spacing w:after="40" w:before="160"/>
      </w:pPr>
      <w:r>
        <w:rPr>
          <w:rFonts w:ascii="Arial" w:cs="Arial" w:eastAsia="Arial" w:hAnsi="Arial"/>
          <w:b/>
          <w:bCs/>
          <w:color w:val="00AECF"/>
          <w:sz w:val="21"/>
          <w:szCs w:val="21"/>
        </w:rPr>
        <w:t xml:space="preserve">2.3   </w:t>
      </w:r>
      <w:r>
        <w:rPr>
          <w:rFonts w:ascii="Arial" w:cs="Arial" w:eastAsia="Arial" w:hAnsi="Arial"/>
          <w:b/>
          <w:bCs/>
          <w:color w:val="040507"/>
          <w:sz w:val="21"/>
          <w:szCs w:val="21"/>
        </w:rPr>
        <w:t xml:space="preserve">Pre-Closing Conditions</w:t>
      </w:r>
    </w:p>
    <w:p>
      <w:pPr>
        <w:spacing w:after="120" w:line="276"/>
        <w:jc w:val="left"/>
      </w:pPr>
      <w:r>
        <w:rPr>
          <w:rFonts w:ascii="Arial" w:cs="Arial" w:eastAsia="Arial" w:hAnsi="Arial"/>
          <w:color w:val="040507"/>
          <w:sz w:val="20"/>
          <w:szCs w:val="20"/>
        </w:rPr>
        <w:t xml:space="preserve">The obligation of the parties to consummate the Closing is conditioned upon: (i) ROFR compliance: the Company and all Stockholders having waived or declined to exercise their rights of first refusal under the Stockholders’ Agreement with respect to the Shares; (ii) all consents and approvals required under the Stockholders’ Agreement, Operating Agreement, and applicable law having been obtained; (iii) the representations and warranties of each party being true and correct as of the Closing Date; (iv) in the case of a Primary Issuance, the Board having approved the issuance by written resolution; and (v) where required, verification of Buyer’s accredited investor status under Rule 506(c).</w:t>
      </w:r>
    </w:p>
    <w:p>
      <w:r>
        <w:br w:type="page"/>
      </w:r>
    </w:p>
    <w:p>
      <w:pPr>
        <w:spacing w:after="60" w:before="300"/>
      </w:pPr>
      <w:r>
        <w:rPr>
          <w:rFonts w:ascii="Arial" w:cs="Arial" w:eastAsia="Arial" w:hAnsi="Arial"/>
          <w:b/>
          <w:bCs/>
          <w:color w:val="6B7280"/>
          <w:spacing w:val="50"/>
          <w:sz w:val="15"/>
          <w:szCs w:val="15"/>
        </w:rPr>
        <w:t xml:space="preserve">ARTICLE  3</w:t>
      </w:r>
    </w:p>
    <w:p>
      <w:pPr>
        <w:pBdr>
          <w:bottom w:val="single" w:color="D9DEE3" w:sz="4" w:space="2"/>
        </w:pBdr>
        <w:spacing w:after="80" w:before="220"/>
      </w:pPr>
      <w:r>
        <w:rPr>
          <w:rFonts w:ascii="Arial" w:cs="Arial" w:eastAsia="Arial" w:hAnsi="Arial"/>
          <w:b/>
          <w:bCs/>
          <w:color w:val="040507"/>
          <w:sz w:val="26"/>
          <w:szCs w:val="26"/>
        </w:rPr>
        <w:t xml:space="preserve">Representations &amp; Warranties of Seller</w:t>
      </w:r>
    </w:p>
    <w:p>
      <w:pPr>
        <w:spacing w:after="120" w:line="276"/>
        <w:jc w:val="left"/>
      </w:pPr>
      <w:r>
        <w:rPr>
          <w:rFonts w:ascii="Arial" w:cs="Arial" w:eastAsia="Arial" w:hAnsi="Arial"/>
          <w:color w:val="040507"/>
          <w:sz w:val="20"/>
          <w:szCs w:val="20"/>
        </w:rPr>
        <w:t xml:space="preserve">Seller represents and warrants to Buyer and the Company as of the date hereof and as of the Closing Date:</w:t>
      </w:r>
    </w:p>
    <w:p>
      <w:pPr>
        <w:spacing w:after="90" w:line="264"/>
        <w:ind w:left="360" w:hanging="360"/>
      </w:pPr>
      <w:r>
        <w:rPr>
          <w:rFonts w:ascii="Arial" w:cs="Arial" w:eastAsia="Arial" w:hAnsi="Arial"/>
          <w:b/>
          <w:bCs/>
          <w:color w:val="00AECF"/>
          <w:sz w:val="20"/>
          <w:szCs w:val="20"/>
        </w:rPr>
        <w:t xml:space="preserve">·  </w:t>
      </w:r>
      <w:r>
        <w:rPr>
          <w:rFonts w:ascii="Arial" w:cs="Arial" w:eastAsia="Arial" w:hAnsi="Arial"/>
          <w:b/>
          <w:bCs/>
          <w:color w:val="040507"/>
          <w:sz w:val="20"/>
          <w:szCs w:val="20"/>
        </w:rPr>
        <w:t xml:space="preserve">Title: </w:t>
      </w:r>
      <w:r>
        <w:rPr>
          <w:rFonts w:ascii="Arial" w:cs="Arial" w:eastAsia="Arial" w:hAnsi="Arial"/>
          <w:color w:val="040507"/>
          <w:sz w:val="20"/>
          <w:szCs w:val="20"/>
        </w:rPr>
        <w:t xml:space="preserve">Seller is the sole legal and beneficial owner of the Shares and has full right, power, and authority to sell and transfer the Shares. The Shares are free and clear of all liens, pledges, charges, and encumbrances other than restrictions imposed by the Stockholders’ Agreement and applicable securities laws.</w:t>
      </w:r>
    </w:p>
    <w:p>
      <w:pPr>
        <w:spacing w:after="90" w:line="264"/>
        <w:ind w:left="360" w:hanging="360"/>
      </w:pPr>
      <w:r>
        <w:rPr>
          <w:rFonts w:ascii="Arial" w:cs="Arial" w:eastAsia="Arial" w:hAnsi="Arial"/>
          <w:b/>
          <w:bCs/>
          <w:color w:val="00AECF"/>
          <w:sz w:val="20"/>
          <w:szCs w:val="20"/>
        </w:rPr>
        <w:t xml:space="preserve">·  </w:t>
      </w:r>
      <w:r>
        <w:rPr>
          <w:rFonts w:ascii="Arial" w:cs="Arial" w:eastAsia="Arial" w:hAnsi="Arial"/>
          <w:b/>
          <w:bCs/>
          <w:color w:val="040507"/>
          <w:sz w:val="20"/>
          <w:szCs w:val="20"/>
        </w:rPr>
        <w:t xml:space="preserve">Authority: </w:t>
      </w:r>
      <w:r>
        <w:rPr>
          <w:rFonts w:ascii="Arial" w:cs="Arial" w:eastAsia="Arial" w:hAnsi="Arial"/>
          <w:color w:val="040507"/>
          <w:sz w:val="20"/>
          <w:szCs w:val="20"/>
        </w:rPr>
        <w:t xml:space="preserve">If Seller is an entity, the execution, delivery, and performance of this Agreement have been duly authorized by all required corporate or organizational action.</w:t>
      </w:r>
    </w:p>
    <w:p>
      <w:pPr>
        <w:spacing w:after="90" w:line="264"/>
        <w:ind w:left="360" w:hanging="360"/>
      </w:pPr>
      <w:r>
        <w:rPr>
          <w:rFonts w:ascii="Arial" w:cs="Arial" w:eastAsia="Arial" w:hAnsi="Arial"/>
          <w:b/>
          <w:bCs/>
          <w:color w:val="00AECF"/>
          <w:sz w:val="20"/>
          <w:szCs w:val="20"/>
        </w:rPr>
        <w:t xml:space="preserve">·  </w:t>
      </w:r>
      <w:r>
        <w:rPr>
          <w:rFonts w:ascii="Arial" w:cs="Arial" w:eastAsia="Arial" w:hAnsi="Arial"/>
          <w:b/>
          <w:bCs/>
          <w:color w:val="040507"/>
          <w:sz w:val="20"/>
          <w:szCs w:val="20"/>
        </w:rPr>
        <w:t xml:space="preserve">No Violation: </w:t>
      </w:r>
      <w:r>
        <w:rPr>
          <w:rFonts w:ascii="Arial" w:cs="Arial" w:eastAsia="Arial" w:hAnsi="Arial"/>
          <w:color w:val="040507"/>
          <w:sz w:val="20"/>
          <w:szCs w:val="20"/>
        </w:rPr>
        <w:t xml:space="preserve">The execution and performance of this Agreement do not violate any agreement to which Seller is a party or by which Seller or the Shares are bound.</w:t>
      </w:r>
    </w:p>
    <w:p>
      <w:pPr>
        <w:spacing w:after="90" w:line="264"/>
        <w:ind w:left="360" w:hanging="360"/>
      </w:pPr>
      <w:r>
        <w:rPr>
          <w:rFonts w:ascii="Arial" w:cs="Arial" w:eastAsia="Arial" w:hAnsi="Arial"/>
          <w:b/>
          <w:bCs/>
          <w:color w:val="00AECF"/>
          <w:sz w:val="20"/>
          <w:szCs w:val="20"/>
        </w:rPr>
        <w:t xml:space="preserve">·  </w:t>
      </w:r>
      <w:r>
        <w:rPr>
          <w:rFonts w:ascii="Arial" w:cs="Arial" w:eastAsia="Arial" w:hAnsi="Arial"/>
          <w:b/>
          <w:bCs/>
          <w:color w:val="040507"/>
          <w:sz w:val="20"/>
          <w:szCs w:val="20"/>
        </w:rPr>
        <w:t xml:space="preserve">No Litigation: </w:t>
      </w:r>
      <w:r>
        <w:rPr>
          <w:rFonts w:ascii="Arial" w:cs="Arial" w:eastAsia="Arial" w:hAnsi="Arial"/>
          <w:color w:val="040507"/>
          <w:sz w:val="20"/>
          <w:szCs w:val="20"/>
        </w:rPr>
        <w:t xml:space="preserve">There is no pending or, to Seller’s knowledge, threatened claim, action, or proceeding against Seller or relating to the Shares.</w:t>
      </w:r>
    </w:p>
    <w:p>
      <w:pPr>
        <w:spacing w:after="90" w:line="264"/>
        <w:ind w:left="360" w:hanging="360"/>
      </w:pPr>
      <w:r>
        <w:rPr>
          <w:rFonts w:ascii="Arial" w:cs="Arial" w:eastAsia="Arial" w:hAnsi="Arial"/>
          <w:b/>
          <w:bCs/>
          <w:color w:val="00AECF"/>
          <w:sz w:val="20"/>
          <w:szCs w:val="20"/>
        </w:rPr>
        <w:t xml:space="preserve">·  </w:t>
      </w:r>
      <w:r>
        <w:rPr>
          <w:rFonts w:ascii="Arial" w:cs="Arial" w:eastAsia="Arial" w:hAnsi="Arial"/>
          <w:b/>
          <w:bCs/>
          <w:color w:val="040507"/>
          <w:sz w:val="20"/>
          <w:szCs w:val="20"/>
        </w:rPr>
        <w:t xml:space="preserve">Compliance: </w:t>
      </w:r>
      <w:r>
        <w:rPr>
          <w:rFonts w:ascii="Arial" w:cs="Arial" w:eastAsia="Arial" w:hAnsi="Arial"/>
          <w:color w:val="040507"/>
          <w:sz w:val="20"/>
          <w:szCs w:val="20"/>
        </w:rPr>
        <w:t xml:space="preserve">The sale of the Shares is being made in compliance with all applicable securities laws and the terms of the Stockholders’ Agreement.</w:t>
      </w:r>
    </w:p>
    <w:p>
      <w:pPr>
        <w:spacing w:after="90" w:line="264"/>
        <w:ind w:left="360" w:hanging="360"/>
      </w:pPr>
      <w:r>
        <w:rPr>
          <w:rFonts w:ascii="Arial" w:cs="Arial" w:eastAsia="Arial" w:hAnsi="Arial"/>
          <w:b/>
          <w:bCs/>
          <w:color w:val="00AECF"/>
          <w:sz w:val="20"/>
          <w:szCs w:val="20"/>
        </w:rPr>
        <w:t xml:space="preserve">·  </w:t>
      </w:r>
      <w:r>
        <w:rPr>
          <w:rFonts w:ascii="Arial" w:cs="Arial" w:eastAsia="Arial" w:hAnsi="Arial"/>
          <w:b/>
          <w:bCs/>
          <w:color w:val="040507"/>
          <w:sz w:val="20"/>
          <w:szCs w:val="20"/>
        </w:rPr>
        <w:t xml:space="preserve">ROFR: </w:t>
      </w:r>
      <w:r>
        <w:rPr>
          <w:rFonts w:ascii="Arial" w:cs="Arial" w:eastAsia="Arial" w:hAnsi="Arial"/>
          <w:color w:val="040507"/>
          <w:sz w:val="20"/>
          <w:szCs w:val="20"/>
        </w:rPr>
        <w:t xml:space="preserve">Seller has complied with all right of first refusal procedures required by the Stockholders’ Agreement, and all ROFR periods have expired or been waived.</w:t>
      </w:r>
    </w:p>
    <w:p>
      <w:r>
        <w:br w:type="page"/>
      </w:r>
    </w:p>
    <w:p>
      <w:pPr>
        <w:spacing w:after="60" w:before="300"/>
      </w:pPr>
      <w:r>
        <w:rPr>
          <w:rFonts w:ascii="Arial" w:cs="Arial" w:eastAsia="Arial" w:hAnsi="Arial"/>
          <w:b/>
          <w:bCs/>
          <w:color w:val="6B7280"/>
          <w:spacing w:val="50"/>
          <w:sz w:val="15"/>
          <w:szCs w:val="15"/>
        </w:rPr>
        <w:t xml:space="preserve">ARTICLE  4</w:t>
      </w:r>
    </w:p>
    <w:p>
      <w:pPr>
        <w:pBdr>
          <w:bottom w:val="single" w:color="D9DEE3" w:sz="4" w:space="2"/>
        </w:pBdr>
        <w:spacing w:after="80" w:before="220"/>
      </w:pPr>
      <w:r>
        <w:rPr>
          <w:rFonts w:ascii="Arial" w:cs="Arial" w:eastAsia="Arial" w:hAnsi="Arial"/>
          <w:b/>
          <w:bCs/>
          <w:color w:val="040507"/>
          <w:sz w:val="26"/>
          <w:szCs w:val="26"/>
        </w:rPr>
        <w:t xml:space="preserve">Representations &amp; Warranties of Buyer</w:t>
      </w:r>
    </w:p>
    <w:p>
      <w:pPr>
        <w:spacing w:after="120" w:line="276"/>
        <w:jc w:val="left"/>
      </w:pPr>
      <w:r>
        <w:rPr>
          <w:rFonts w:ascii="Arial" w:cs="Arial" w:eastAsia="Arial" w:hAnsi="Arial"/>
          <w:color w:val="040507"/>
          <w:sz w:val="20"/>
          <w:szCs w:val="20"/>
        </w:rPr>
        <w:t xml:space="preserve">Buyer represents and warrants to Seller and the Company as of the date hereof and as of the Closing Date:</w:t>
      </w:r>
    </w:p>
    <w:p>
      <w:pPr>
        <w:spacing w:after="90" w:line="264"/>
        <w:ind w:left="360" w:hanging="360"/>
      </w:pPr>
      <w:r>
        <w:rPr>
          <w:rFonts w:ascii="Arial" w:cs="Arial" w:eastAsia="Arial" w:hAnsi="Arial"/>
          <w:b/>
          <w:bCs/>
          <w:color w:val="00AECF"/>
          <w:sz w:val="20"/>
          <w:szCs w:val="20"/>
        </w:rPr>
        <w:t xml:space="preserve">·  </w:t>
      </w:r>
      <w:r>
        <w:rPr>
          <w:rFonts w:ascii="Arial" w:cs="Arial" w:eastAsia="Arial" w:hAnsi="Arial"/>
          <w:b/>
          <w:bCs/>
          <w:color w:val="040507"/>
          <w:sz w:val="20"/>
          <w:szCs w:val="20"/>
        </w:rPr>
        <w:t xml:space="preserve">Investment Intent: </w:t>
      </w:r>
      <w:r>
        <w:rPr>
          <w:rFonts w:ascii="Arial" w:cs="Arial" w:eastAsia="Arial" w:hAnsi="Arial"/>
          <w:color w:val="040507"/>
          <w:sz w:val="20"/>
          <w:szCs w:val="20"/>
        </w:rPr>
        <w:t xml:space="preserve">Buyer is purchasing the Shares for Buyer’s own account, for investment purposes only, and not with a view to resale or distribution in violation of the Securities Act or applicable state securities laws.</w:t>
      </w:r>
    </w:p>
    <w:p>
      <w:pPr>
        <w:spacing w:after="90" w:line="264"/>
        <w:ind w:left="360" w:hanging="360"/>
      </w:pPr>
      <w:r>
        <w:rPr>
          <w:rFonts w:ascii="Arial" w:cs="Arial" w:eastAsia="Arial" w:hAnsi="Arial"/>
          <w:b/>
          <w:bCs/>
          <w:color w:val="00AECF"/>
          <w:sz w:val="20"/>
          <w:szCs w:val="20"/>
        </w:rPr>
        <w:t xml:space="preserve">·  </w:t>
      </w:r>
      <w:r>
        <w:rPr>
          <w:rFonts w:ascii="Arial" w:cs="Arial" w:eastAsia="Arial" w:hAnsi="Arial"/>
          <w:b/>
          <w:bCs/>
          <w:color w:val="040507"/>
          <w:sz w:val="20"/>
          <w:szCs w:val="20"/>
        </w:rPr>
        <w:t xml:space="preserve">Accredited Status: </w:t>
      </w:r>
      <w:r>
        <w:rPr>
          <w:rFonts w:ascii="Arial" w:cs="Arial" w:eastAsia="Arial" w:hAnsi="Arial"/>
          <w:color w:val="040507"/>
          <w:sz w:val="20"/>
          <w:szCs w:val="20"/>
        </w:rPr>
        <w:t xml:space="preserve">Buyer is an accredited investor as defined in Rule 501 of Regulation D and will provide documentation sufficient for the Company to verify accredited status under Rule 506(c). For secondary Transfers exempt from Rule 506(c), a sophisticated investor with sufficient knowledge and experience to evaluate the merits and risks of the investment may qualify, subject to Company consent.</w:t>
      </w:r>
    </w:p>
    <w:p>
      <w:pPr>
        <w:spacing w:after="90" w:line="264"/>
        <w:ind w:left="360" w:hanging="360"/>
      </w:pPr>
      <w:r>
        <w:rPr>
          <w:rFonts w:ascii="Arial" w:cs="Arial" w:eastAsia="Arial" w:hAnsi="Arial"/>
          <w:b/>
          <w:bCs/>
          <w:color w:val="00AECF"/>
          <w:sz w:val="20"/>
          <w:szCs w:val="20"/>
        </w:rPr>
        <w:t xml:space="preserve">·  </w:t>
      </w:r>
      <w:r>
        <w:rPr>
          <w:rFonts w:ascii="Arial" w:cs="Arial" w:eastAsia="Arial" w:hAnsi="Arial"/>
          <w:b/>
          <w:bCs/>
          <w:color w:val="040507"/>
          <w:sz w:val="20"/>
          <w:szCs w:val="20"/>
        </w:rPr>
        <w:t xml:space="preserve">Risk of Loss: </w:t>
      </w:r>
      <w:r>
        <w:rPr>
          <w:rFonts w:ascii="Arial" w:cs="Arial" w:eastAsia="Arial" w:hAnsi="Arial"/>
          <w:color w:val="040507"/>
          <w:sz w:val="20"/>
          <w:szCs w:val="20"/>
        </w:rPr>
        <w:t xml:space="preserve">Buyer understands the speculative nature of this investment, the illiquidity of the Shares, and is able to bear a complete loss of the Purchase Price.</w:t>
      </w:r>
    </w:p>
    <w:p>
      <w:pPr>
        <w:spacing w:after="90" w:line="264"/>
        <w:ind w:left="360" w:hanging="360"/>
      </w:pPr>
      <w:r>
        <w:rPr>
          <w:rFonts w:ascii="Arial" w:cs="Arial" w:eastAsia="Arial" w:hAnsi="Arial"/>
          <w:b/>
          <w:bCs/>
          <w:color w:val="00AECF"/>
          <w:sz w:val="20"/>
          <w:szCs w:val="20"/>
        </w:rPr>
        <w:t xml:space="preserve">·  </w:t>
      </w:r>
      <w:r>
        <w:rPr>
          <w:rFonts w:ascii="Arial" w:cs="Arial" w:eastAsia="Arial" w:hAnsi="Arial"/>
          <w:b/>
          <w:bCs/>
          <w:color w:val="040507"/>
          <w:sz w:val="20"/>
          <w:szCs w:val="20"/>
        </w:rPr>
        <w:t xml:space="preserve">Access to Information: </w:t>
      </w:r>
      <w:r>
        <w:rPr>
          <w:rFonts w:ascii="Arial" w:cs="Arial" w:eastAsia="Arial" w:hAnsi="Arial"/>
          <w:color w:val="040507"/>
          <w:sz w:val="20"/>
          <w:szCs w:val="20"/>
        </w:rPr>
        <w:t xml:space="preserve">Buyer has had the opportunity to review the Company’s financial information and to ask questions of Company management.</w:t>
      </w:r>
    </w:p>
    <w:p>
      <w:pPr>
        <w:spacing w:after="90" w:line="264"/>
        <w:ind w:left="360" w:hanging="360"/>
      </w:pPr>
      <w:r>
        <w:rPr>
          <w:rFonts w:ascii="Arial" w:cs="Arial" w:eastAsia="Arial" w:hAnsi="Arial"/>
          <w:b/>
          <w:bCs/>
          <w:color w:val="00AECF"/>
          <w:sz w:val="20"/>
          <w:szCs w:val="20"/>
        </w:rPr>
        <w:t xml:space="preserve">·  </w:t>
      </w:r>
      <w:r>
        <w:rPr>
          <w:rFonts w:ascii="Arial" w:cs="Arial" w:eastAsia="Arial" w:hAnsi="Arial"/>
          <w:b/>
          <w:bCs/>
          <w:color w:val="040507"/>
          <w:sz w:val="20"/>
          <w:szCs w:val="20"/>
        </w:rPr>
        <w:t xml:space="preserve">Stockholders’ Agreement: </w:t>
      </w:r>
      <w:r>
        <w:rPr>
          <w:rFonts w:ascii="Arial" w:cs="Arial" w:eastAsia="Arial" w:hAnsi="Arial"/>
          <w:color w:val="040507"/>
          <w:sz w:val="20"/>
          <w:szCs w:val="20"/>
        </w:rPr>
        <w:t xml:space="preserve">Buyer agrees to be bound by the Stockholders’ Agreement upon Closing by executing the Joinder Agreement attached as Exhibit C, and acknowledges the transfer restrictions therein.</w:t>
      </w:r>
    </w:p>
    <w:p>
      <w:pPr>
        <w:spacing w:after="90" w:line="264"/>
        <w:ind w:left="360" w:hanging="360"/>
      </w:pPr>
      <w:r>
        <w:rPr>
          <w:rFonts w:ascii="Arial" w:cs="Arial" w:eastAsia="Arial" w:hAnsi="Arial"/>
          <w:b/>
          <w:bCs/>
          <w:color w:val="00AECF"/>
          <w:sz w:val="20"/>
          <w:szCs w:val="20"/>
        </w:rPr>
        <w:t xml:space="preserve">·  </w:t>
      </w:r>
      <w:r>
        <w:rPr>
          <w:rFonts w:ascii="Arial" w:cs="Arial" w:eastAsia="Arial" w:hAnsi="Arial"/>
          <w:b/>
          <w:bCs/>
          <w:color w:val="040507"/>
          <w:sz w:val="20"/>
          <w:szCs w:val="20"/>
        </w:rPr>
        <w:t xml:space="preserve">Authority: </w:t>
      </w:r>
      <w:r>
        <w:rPr>
          <w:rFonts w:ascii="Arial" w:cs="Arial" w:eastAsia="Arial" w:hAnsi="Arial"/>
          <w:color w:val="040507"/>
          <w:sz w:val="20"/>
          <w:szCs w:val="20"/>
        </w:rPr>
        <w:t xml:space="preserve">If Buyer is an entity, the execution and performance of this Agreement have been duly authorized.</w:t>
      </w:r>
    </w:p>
    <w:p>
      <w:r>
        <w:br w:type="page"/>
      </w:r>
    </w:p>
    <w:p>
      <w:pPr>
        <w:spacing w:after="60" w:before="300"/>
      </w:pPr>
      <w:r>
        <w:rPr>
          <w:rFonts w:ascii="Arial" w:cs="Arial" w:eastAsia="Arial" w:hAnsi="Arial"/>
          <w:b/>
          <w:bCs/>
          <w:color w:val="6B7280"/>
          <w:spacing w:val="50"/>
          <w:sz w:val="15"/>
          <w:szCs w:val="15"/>
        </w:rPr>
        <w:t xml:space="preserve">ARTICLE  5</w:t>
      </w:r>
    </w:p>
    <w:p>
      <w:pPr>
        <w:pBdr>
          <w:bottom w:val="single" w:color="D9DEE3" w:sz="4" w:space="2"/>
        </w:pBdr>
        <w:spacing w:after="80" w:before="220"/>
      </w:pPr>
      <w:r>
        <w:rPr>
          <w:rFonts w:ascii="Arial" w:cs="Arial" w:eastAsia="Arial" w:hAnsi="Arial"/>
          <w:b/>
          <w:bCs/>
          <w:color w:val="040507"/>
          <w:sz w:val="26"/>
          <w:szCs w:val="26"/>
        </w:rPr>
        <w:t xml:space="preserve">Company Representations (Primary Issuances Only)</w:t>
      </w:r>
    </w:p>
    <w:p>
      <w:pPr>
        <w:spacing w:after="120" w:line="276"/>
        <w:jc w:val="left"/>
      </w:pPr>
      <w:r>
        <w:rPr>
          <w:rFonts w:ascii="Arial" w:cs="Arial" w:eastAsia="Arial" w:hAnsi="Arial"/>
          <w:color w:val="040507"/>
          <w:sz w:val="20"/>
          <w:szCs w:val="20"/>
        </w:rPr>
        <w:t xml:space="preserve">In the case of a Primary Issuance, the Company represents and warrants that: (a) the Shares being issued are duly authorized and, when issued and paid for, will be validly issued, fully paid, and non-assessable; (b) the Company has full corporate authority to issue the Shares; (c) the issuance has been approved by Board resolution; (d) the issuance does not violate the Articles of Incorporation, Operating Agreement, or any agreement to which the Company is a party; and (e) the Cap Table delivered to Buyer as of the Closing Date is complete and accurate.</w:t>
      </w:r>
    </w:p>
    <w:p>
      <w:r>
        <w:br w:type="page"/>
      </w:r>
    </w:p>
    <w:p>
      <w:pPr>
        <w:spacing w:after="60" w:before="300"/>
      </w:pPr>
      <w:r>
        <w:rPr>
          <w:rFonts w:ascii="Arial" w:cs="Arial" w:eastAsia="Arial" w:hAnsi="Arial"/>
          <w:b/>
          <w:bCs/>
          <w:color w:val="6B7280"/>
          <w:spacing w:val="50"/>
          <w:sz w:val="15"/>
          <w:szCs w:val="15"/>
        </w:rPr>
        <w:t xml:space="preserve">ARTICLE  6</w:t>
      </w:r>
    </w:p>
    <w:p>
      <w:pPr>
        <w:pBdr>
          <w:bottom w:val="single" w:color="D9DEE3" w:sz="4" w:space="2"/>
        </w:pBdr>
        <w:spacing w:after="80" w:before="220"/>
      </w:pPr>
      <w:r>
        <w:rPr>
          <w:rFonts w:ascii="Arial" w:cs="Arial" w:eastAsia="Arial" w:hAnsi="Arial"/>
          <w:b/>
          <w:bCs/>
          <w:color w:val="040507"/>
          <w:sz w:val="26"/>
          <w:szCs w:val="26"/>
        </w:rPr>
        <w:t xml:space="preserve">Closing</w:t>
      </w:r>
    </w:p>
    <w:p>
      <w:pPr>
        <w:spacing w:after="40" w:before="160"/>
      </w:pPr>
      <w:r>
        <w:rPr>
          <w:rFonts w:ascii="Arial" w:cs="Arial" w:eastAsia="Arial" w:hAnsi="Arial"/>
          <w:b/>
          <w:bCs/>
          <w:color w:val="00AECF"/>
          <w:sz w:val="21"/>
          <w:szCs w:val="21"/>
        </w:rPr>
        <w:t xml:space="preserve">6.1   </w:t>
      </w:r>
      <w:r>
        <w:rPr>
          <w:rFonts w:ascii="Arial" w:cs="Arial" w:eastAsia="Arial" w:hAnsi="Arial"/>
          <w:b/>
          <w:bCs/>
          <w:color w:val="040507"/>
          <w:sz w:val="21"/>
          <w:szCs w:val="21"/>
        </w:rPr>
        <w:t xml:space="preserve">Closing Deliveries — Seller/Company</w:t>
      </w:r>
    </w:p>
    <w:p>
      <w:pPr>
        <w:spacing w:after="120" w:line="276"/>
        <w:jc w:val="left"/>
      </w:pPr>
      <w:r>
        <w:rPr>
          <w:rFonts w:ascii="Arial" w:cs="Arial" w:eastAsia="Arial" w:hAnsi="Arial"/>
          <w:color w:val="040507"/>
          <w:sz w:val="20"/>
          <w:szCs w:val="20"/>
        </w:rPr>
        <w:t xml:space="preserve">At Closing, Seller (or the Company, as applicable) shall deliver: (i) evidence of book-entry transfer on the Cap Table, or physical stock certificate(s) duly endorsed for transfer, representing the Shares; (ii) any stock powers or transfer instruments required by the Company’s transfer agent or Carta; (iii) a copy of the Board resolution approving the Transfer (Primary Issuances only); and (iv) any other documents reasonably requested by Buyer or required by applicable law.</w:t>
      </w:r>
    </w:p>
    <w:p>
      <w:pPr>
        <w:spacing w:after="40" w:before="160"/>
      </w:pPr>
      <w:r>
        <w:rPr>
          <w:rFonts w:ascii="Arial" w:cs="Arial" w:eastAsia="Arial" w:hAnsi="Arial"/>
          <w:b/>
          <w:bCs/>
          <w:color w:val="00AECF"/>
          <w:sz w:val="21"/>
          <w:szCs w:val="21"/>
        </w:rPr>
        <w:t xml:space="preserve">6.2   </w:t>
      </w:r>
      <w:r>
        <w:rPr>
          <w:rFonts w:ascii="Arial" w:cs="Arial" w:eastAsia="Arial" w:hAnsi="Arial"/>
          <w:b/>
          <w:bCs/>
          <w:color w:val="040507"/>
          <w:sz w:val="21"/>
          <w:szCs w:val="21"/>
        </w:rPr>
        <w:t xml:space="preserve">Closing Deliveries — Buyer</w:t>
      </w:r>
    </w:p>
    <w:p>
      <w:pPr>
        <w:spacing w:after="120" w:line="276"/>
        <w:jc w:val="left"/>
      </w:pPr>
      <w:r>
        <w:rPr>
          <w:rFonts w:ascii="Arial" w:cs="Arial" w:eastAsia="Arial" w:hAnsi="Arial"/>
          <w:color w:val="040507"/>
          <w:sz w:val="20"/>
          <w:szCs w:val="20"/>
        </w:rPr>
        <w:t xml:space="preserve">At Closing, Buyer shall deliver: (i) the Purchase Price in immediately available funds; (ii) an executed Joinder Agreement to the Stockholders’ Agreement; (iii) an executed counterpart of this Agreement; and (iv) any other documents reasonably requested by Seller or required by applicable law, including accreditation verification materials where applicable.</w:t>
      </w:r>
    </w:p>
    <w:p>
      <w:pPr>
        <w:spacing w:after="40" w:before="160"/>
      </w:pPr>
      <w:r>
        <w:rPr>
          <w:rFonts w:ascii="Arial" w:cs="Arial" w:eastAsia="Arial" w:hAnsi="Arial"/>
          <w:b/>
          <w:bCs/>
          <w:color w:val="00AECF"/>
          <w:sz w:val="21"/>
          <w:szCs w:val="21"/>
        </w:rPr>
        <w:t xml:space="preserve">6.3   </w:t>
      </w:r>
      <w:r>
        <w:rPr>
          <w:rFonts w:ascii="Arial" w:cs="Arial" w:eastAsia="Arial" w:hAnsi="Arial"/>
          <w:b/>
          <w:bCs/>
          <w:color w:val="040507"/>
          <w:sz w:val="21"/>
          <w:szCs w:val="21"/>
        </w:rPr>
        <w:t xml:space="preserve">Cap Table Update</w:t>
      </w:r>
    </w:p>
    <w:p>
      <w:pPr>
        <w:spacing w:after="120" w:line="276"/>
        <w:jc w:val="left"/>
      </w:pPr>
      <w:r>
        <w:rPr>
          <w:rFonts w:ascii="Arial" w:cs="Arial" w:eastAsia="Arial" w:hAnsi="Arial"/>
          <w:color w:val="040507"/>
          <w:sz w:val="20"/>
          <w:szCs w:val="20"/>
        </w:rPr>
        <w:t xml:space="preserve">Immediately following Closing, the Company shall update the Cap Table on Carta to reflect the Transfer and shall deliver to Buyer written confirmation of the updated Cap Table entries reflecting Buyer’s ownership.</w:t>
      </w:r>
    </w:p>
    <w:p>
      <w:r>
        <w:br w:type="page"/>
      </w:r>
    </w:p>
    <w:p>
      <w:pPr>
        <w:spacing w:after="60" w:before="300"/>
      </w:pPr>
      <w:r>
        <w:rPr>
          <w:rFonts w:ascii="Arial" w:cs="Arial" w:eastAsia="Arial" w:hAnsi="Arial"/>
          <w:b/>
          <w:bCs/>
          <w:color w:val="6B7280"/>
          <w:spacing w:val="50"/>
          <w:sz w:val="15"/>
          <w:szCs w:val="15"/>
        </w:rPr>
        <w:t xml:space="preserve">ARTICLE  7</w:t>
      </w:r>
    </w:p>
    <w:p>
      <w:pPr>
        <w:pBdr>
          <w:bottom w:val="single" w:color="D9DEE3" w:sz="4" w:space="2"/>
        </w:pBdr>
        <w:spacing w:after="80" w:before="220"/>
      </w:pPr>
      <w:r>
        <w:rPr>
          <w:rFonts w:ascii="Arial" w:cs="Arial" w:eastAsia="Arial" w:hAnsi="Arial"/>
          <w:b/>
          <w:bCs/>
          <w:color w:val="040507"/>
          <w:sz w:val="26"/>
          <w:szCs w:val="26"/>
        </w:rPr>
        <w:t xml:space="preserve">Post-Closing Covenants</w:t>
      </w:r>
    </w:p>
    <w:p>
      <w:pPr>
        <w:spacing w:after="120" w:line="276"/>
        <w:jc w:val="left"/>
      </w:pPr>
      <w:r>
        <w:rPr>
          <w:rFonts w:ascii="Arial" w:cs="Arial" w:eastAsia="Arial" w:hAnsi="Arial"/>
          <w:color w:val="040507"/>
          <w:sz w:val="20"/>
          <w:szCs w:val="20"/>
        </w:rPr>
        <w:t xml:space="preserve">Following Closing: (i) Seller shall promptly execute any additional instruments reasonably requested by Buyer or the Company to evidence the Transfer; (ii) Buyer shall promptly execute any instruments required to become a party to the Stockholders’ Agreement and Operating Agreement; and (iii) the Company shall deliver to Buyer copies of the current Operating Agreement and Stockholders’ Agreement within five (5) business days of Closing.</w:t>
      </w:r>
    </w:p>
    <w:p>
      <w:pPr>
        <w:spacing w:after="60" w:before="300"/>
      </w:pPr>
      <w:r>
        <w:rPr>
          <w:rFonts w:ascii="Arial" w:cs="Arial" w:eastAsia="Arial" w:hAnsi="Arial"/>
          <w:b/>
          <w:bCs/>
          <w:color w:val="6B7280"/>
          <w:spacing w:val="50"/>
          <w:sz w:val="15"/>
          <w:szCs w:val="15"/>
        </w:rPr>
        <w:t xml:space="preserve">ARTICLE  8</w:t>
      </w:r>
    </w:p>
    <w:p>
      <w:pPr>
        <w:pBdr>
          <w:bottom w:val="single" w:color="D9DEE3" w:sz="4" w:space="2"/>
        </w:pBdr>
        <w:spacing w:after="80" w:before="220"/>
      </w:pPr>
      <w:r>
        <w:rPr>
          <w:rFonts w:ascii="Arial" w:cs="Arial" w:eastAsia="Arial" w:hAnsi="Arial"/>
          <w:b/>
          <w:bCs/>
          <w:color w:val="040507"/>
          <w:sz w:val="26"/>
          <w:szCs w:val="26"/>
        </w:rPr>
        <w:t xml:space="preserve">Indemnification</w:t>
      </w:r>
    </w:p>
    <w:p>
      <w:pPr>
        <w:spacing w:after="120" w:line="276"/>
        <w:jc w:val="left"/>
      </w:pPr>
      <w:r>
        <w:rPr>
          <w:rFonts w:ascii="Arial" w:cs="Arial" w:eastAsia="Arial" w:hAnsi="Arial"/>
          <w:color w:val="040507"/>
          <w:sz w:val="20"/>
          <w:szCs w:val="20"/>
        </w:rPr>
        <w:t xml:space="preserve">Each party shall indemnify and hold harmless the other parties and their respective directors, officers, and agents from any loss, damage, cost, or expense (including reasonable attorneys’ fees) arising from: (i) any breach of such party’s representations, warranties, or covenants herein; or (ii) any third-party claim arising from such party’s actions or omissions in connection with this Agreement. No party’s indemnification obligation shall exceed the Purchase Price.</w:t>
      </w:r>
    </w:p>
    <w:p>
      <w:r>
        <w:br w:type="page"/>
      </w:r>
    </w:p>
    <w:p>
      <w:pPr>
        <w:spacing w:after="60" w:before="300"/>
      </w:pPr>
      <w:r>
        <w:rPr>
          <w:rFonts w:ascii="Arial" w:cs="Arial" w:eastAsia="Arial" w:hAnsi="Arial"/>
          <w:b/>
          <w:bCs/>
          <w:color w:val="6B7280"/>
          <w:spacing w:val="50"/>
          <w:sz w:val="15"/>
          <w:szCs w:val="15"/>
        </w:rPr>
        <w:t xml:space="preserve">ARTICLE  9</w:t>
      </w:r>
    </w:p>
    <w:p>
      <w:pPr>
        <w:pBdr>
          <w:bottom w:val="single" w:color="D9DEE3" w:sz="4" w:space="2"/>
        </w:pBdr>
        <w:spacing w:after="80" w:before="220"/>
      </w:pPr>
      <w:r>
        <w:rPr>
          <w:rFonts w:ascii="Arial" w:cs="Arial" w:eastAsia="Arial" w:hAnsi="Arial"/>
          <w:b/>
          <w:bCs/>
          <w:color w:val="040507"/>
          <w:sz w:val="26"/>
          <w:szCs w:val="26"/>
        </w:rPr>
        <w:t xml:space="preserve">General Provisions</w:t>
      </w:r>
    </w:p>
    <w:p>
      <w:pPr>
        <w:spacing w:after="90" w:line="264"/>
        <w:ind w:left="360" w:hanging="360"/>
      </w:pPr>
      <w:r>
        <w:rPr>
          <w:rFonts w:ascii="Arial" w:cs="Arial" w:eastAsia="Arial" w:hAnsi="Arial"/>
          <w:b/>
          <w:bCs/>
          <w:color w:val="00AECF"/>
          <w:sz w:val="20"/>
          <w:szCs w:val="20"/>
        </w:rPr>
        <w:t xml:space="preserve">·  </w:t>
      </w:r>
      <w:r>
        <w:rPr>
          <w:rFonts w:ascii="Arial" w:cs="Arial" w:eastAsia="Arial" w:hAnsi="Arial"/>
          <w:b/>
          <w:bCs/>
          <w:color w:val="040507"/>
          <w:sz w:val="20"/>
          <w:szCs w:val="20"/>
        </w:rPr>
        <w:t xml:space="preserve">Governing Law: </w:t>
      </w:r>
      <w:r>
        <w:rPr>
          <w:rFonts w:ascii="Arial" w:cs="Arial" w:eastAsia="Arial" w:hAnsi="Arial"/>
          <w:color w:val="040507"/>
          <w:sz w:val="20"/>
          <w:szCs w:val="20"/>
        </w:rPr>
        <w:t xml:space="preserve">Montana. Disputes resolved by AAA binding arbitration in Missoula, Montana.</w:t>
      </w:r>
    </w:p>
    <w:p>
      <w:pPr>
        <w:spacing w:after="90" w:line="264"/>
        <w:ind w:left="360" w:hanging="360"/>
      </w:pPr>
      <w:r>
        <w:rPr>
          <w:rFonts w:ascii="Arial" w:cs="Arial" w:eastAsia="Arial" w:hAnsi="Arial"/>
          <w:b/>
          <w:bCs/>
          <w:color w:val="00AECF"/>
          <w:sz w:val="20"/>
          <w:szCs w:val="20"/>
        </w:rPr>
        <w:t xml:space="preserve">·  </w:t>
      </w:r>
      <w:r>
        <w:rPr>
          <w:rFonts w:ascii="Arial" w:cs="Arial" w:eastAsia="Arial" w:hAnsi="Arial"/>
          <w:b/>
          <w:bCs/>
          <w:color w:val="040507"/>
          <w:sz w:val="20"/>
          <w:szCs w:val="20"/>
        </w:rPr>
        <w:t xml:space="preserve">Entire Agreement: </w:t>
      </w:r>
      <w:r>
        <w:rPr>
          <w:rFonts w:ascii="Arial" w:cs="Arial" w:eastAsia="Arial" w:hAnsi="Arial"/>
          <w:color w:val="040507"/>
          <w:sz w:val="20"/>
          <w:szCs w:val="20"/>
        </w:rPr>
        <w:t xml:space="preserve">This Agreement, Exhibits A–C, the Stockholders’ Agreement, and Operating Agreement constitute the complete agreement of the parties on the subject matter.</w:t>
      </w:r>
    </w:p>
    <w:p>
      <w:pPr>
        <w:spacing w:after="90" w:line="264"/>
        <w:ind w:left="360" w:hanging="360"/>
      </w:pPr>
      <w:r>
        <w:rPr>
          <w:rFonts w:ascii="Arial" w:cs="Arial" w:eastAsia="Arial" w:hAnsi="Arial"/>
          <w:b/>
          <w:bCs/>
          <w:color w:val="00AECF"/>
          <w:sz w:val="20"/>
          <w:szCs w:val="20"/>
        </w:rPr>
        <w:t xml:space="preserve">·  </w:t>
      </w:r>
      <w:r>
        <w:rPr>
          <w:rFonts w:ascii="Arial" w:cs="Arial" w:eastAsia="Arial" w:hAnsi="Arial"/>
          <w:b/>
          <w:bCs/>
          <w:color w:val="040507"/>
          <w:sz w:val="20"/>
          <w:szCs w:val="20"/>
        </w:rPr>
        <w:t xml:space="preserve">Counterparts; Electronic Signatures: </w:t>
      </w:r>
      <w:r>
        <w:rPr>
          <w:rFonts w:ascii="Arial" w:cs="Arial" w:eastAsia="Arial" w:hAnsi="Arial"/>
          <w:color w:val="040507"/>
          <w:sz w:val="20"/>
          <w:szCs w:val="20"/>
        </w:rPr>
        <w:t xml:space="preserve">Fully enforceable; electronic signatures are originals.</w:t>
      </w:r>
    </w:p>
    <w:p>
      <w:pPr>
        <w:spacing w:after="90" w:line="264"/>
        <w:ind w:left="360" w:hanging="360"/>
      </w:pPr>
      <w:r>
        <w:rPr>
          <w:rFonts w:ascii="Arial" w:cs="Arial" w:eastAsia="Arial" w:hAnsi="Arial"/>
          <w:b/>
          <w:bCs/>
          <w:color w:val="00AECF"/>
          <w:sz w:val="20"/>
          <w:szCs w:val="20"/>
        </w:rPr>
        <w:t xml:space="preserve">·  </w:t>
      </w:r>
      <w:r>
        <w:rPr>
          <w:rFonts w:ascii="Arial" w:cs="Arial" w:eastAsia="Arial" w:hAnsi="Arial"/>
          <w:b/>
          <w:bCs/>
          <w:color w:val="040507"/>
          <w:sz w:val="20"/>
          <w:szCs w:val="20"/>
        </w:rPr>
        <w:t xml:space="preserve">Severability; Amendment: </w:t>
      </w:r>
      <w:r>
        <w:rPr>
          <w:rFonts w:ascii="Arial" w:cs="Arial" w:eastAsia="Arial" w:hAnsi="Arial"/>
          <w:color w:val="040507"/>
          <w:sz w:val="20"/>
          <w:szCs w:val="20"/>
        </w:rPr>
        <w:t xml:space="preserve">Invalid provisions modified to be enforceable; amendment requires written consent of all parties.</w:t>
      </w:r>
    </w:p>
    <w:p>
      <w:r>
        <w:br w:type="page"/>
      </w:r>
    </w:p>
    <w:p>
      <w:pPr>
        <w:spacing w:after="60" w:before="300"/>
      </w:pPr>
      <w:r>
        <w:rPr>
          <w:rFonts w:ascii="Arial" w:cs="Arial" w:eastAsia="Arial" w:hAnsi="Arial"/>
          <w:b/>
          <w:bCs/>
          <w:color w:val="6B7280"/>
          <w:spacing w:val="50"/>
          <w:sz w:val="15"/>
          <w:szCs w:val="15"/>
        </w:rPr>
        <w:t xml:space="preserve">EXHIBIT  A</w:t>
      </w:r>
    </w:p>
    <w:p>
      <w:pPr>
        <w:pBdr>
          <w:bottom w:val="single" w:color="D9DEE3" w:sz="4" w:space="2"/>
        </w:pBdr>
        <w:spacing w:after="80" w:before="220"/>
      </w:pPr>
      <w:r>
        <w:rPr>
          <w:rFonts w:ascii="Arial" w:cs="Arial" w:eastAsia="Arial" w:hAnsi="Arial"/>
          <w:b/>
          <w:bCs/>
          <w:color w:val="040507"/>
          <w:sz w:val="26"/>
          <w:szCs w:val="26"/>
        </w:rPr>
        <w:t xml:space="preserve">Transaction Summary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00"/>
        <w:gridCol w:w="6780"/>
      </w:tblGrid>
      <w:tr>
        <w:tc>
          <w:tcPr>
            <w:tcW w:type="dxa" w:w="3300"/>
            <w:tcBorders>
              <w:top w:val="single" w:color="D9DEE3" w:sz="4"/>
              <w:left w:val="single" w:color="D9DEE3" w:sz="4"/>
              <w:bottom w:val="single" w:color="D9DEE3" w:sz="4"/>
              <w:right w:val="single" w:color="D9DEE3" w:sz="4"/>
            </w:tcBorders>
            <w:shd w:fill="F6F8FA" w:val="clear"/>
            <w:tcMar>
              <w:top w:type="dxa" w:w="80"/>
              <w:left w:type="dxa" w:w="140"/>
              <w:bottom w:type="dxa" w:w="80"/>
              <w:right w:type="dxa" w:w="140"/>
            </w:tcMar>
          </w:tcPr>
          <w:p>
            <w:r>
              <w:rPr>
                <w:rFonts w:ascii="Arial" w:cs="Arial" w:eastAsia="Arial" w:hAnsi="Arial"/>
                <w:b/>
                <w:bCs/>
                <w:color w:val="040507"/>
                <w:sz w:val="19"/>
                <w:szCs w:val="19"/>
              </w:rPr>
              <w:t xml:space="preserve">Transaction Type</w:t>
            </w:r>
          </w:p>
        </w:tc>
        <w:tc>
          <w:tcPr>
            <w:tcW w:type="dxa" w:w="6780"/>
            <w:tcBorders>
              <w:top w:val="single" w:color="D9DEE3" w:sz="4"/>
              <w:left w:val="single" w:color="D9DEE3" w:sz="4"/>
              <w:bottom w:val="single" w:color="D9DEE3" w:sz="4"/>
              <w:right w:val="single" w:color="D9DEE3" w:sz="4"/>
            </w:tcBorders>
            <w:tcMar>
              <w:top w:type="dxa" w:w="80"/>
              <w:left w:type="dxa" w:w="140"/>
              <w:bottom w:type="dxa" w:w="80"/>
              <w:right w:type="dxa" w:w="140"/>
            </w:tcMar>
          </w:tcPr>
          <w:p>
            <w:r>
              <w:rPr>
                <w:rFonts w:ascii="Arial" w:cs="Arial" w:eastAsia="Arial" w:hAnsi="Arial"/>
                <w:color w:val="6B7280"/>
                <w:sz w:val="19"/>
                <w:szCs w:val="19"/>
              </w:rPr>
              <w:t xml:space="preserve">☐  Primary Issuance      ☐  Secondary Transfer</w:t>
            </w:r>
          </w:p>
        </w:tc>
      </w:tr>
      <w:tr>
        <w:tc>
          <w:tcPr>
            <w:tcW w:type="dxa" w:w="3300"/>
            <w:tcBorders>
              <w:top w:val="single" w:color="D9DEE3" w:sz="4"/>
              <w:left w:val="single" w:color="D9DEE3" w:sz="4"/>
              <w:bottom w:val="single" w:color="D9DEE3" w:sz="4"/>
              <w:right w:val="single" w:color="D9DEE3" w:sz="4"/>
            </w:tcBorders>
            <w:shd w:fill="F6F8FA" w:val="clear"/>
            <w:tcMar>
              <w:top w:type="dxa" w:w="80"/>
              <w:left w:type="dxa" w:w="140"/>
              <w:bottom w:type="dxa" w:w="80"/>
              <w:right w:type="dxa" w:w="140"/>
            </w:tcMar>
          </w:tcPr>
          <w:p>
            <w:r>
              <w:rPr>
                <w:rFonts w:ascii="Arial" w:cs="Arial" w:eastAsia="Arial" w:hAnsi="Arial"/>
                <w:b/>
                <w:bCs/>
                <w:color w:val="040507"/>
                <w:sz w:val="19"/>
                <w:szCs w:val="19"/>
              </w:rPr>
              <w:t xml:space="preserve">Share Class</w:t>
            </w:r>
          </w:p>
        </w:tc>
        <w:tc>
          <w:tcPr>
            <w:tcW w:type="dxa" w:w="6780"/>
            <w:tcBorders>
              <w:top w:val="single" w:color="D9DEE3" w:sz="4"/>
              <w:left w:val="single" w:color="D9DEE3" w:sz="4"/>
              <w:bottom w:val="single" w:color="D9DEE3" w:sz="4"/>
              <w:right w:val="single" w:color="D9DEE3" w:sz="4"/>
            </w:tcBorders>
            <w:tcMar>
              <w:top w:type="dxa" w:w="80"/>
              <w:left w:type="dxa" w:w="140"/>
              <w:bottom w:type="dxa" w:w="80"/>
              <w:right w:type="dxa" w:w="140"/>
            </w:tcMar>
          </w:tcPr>
          <w:p>
            <w:r>
              <w:rPr>
                <w:rFonts w:ascii="Arial" w:cs="Arial" w:eastAsia="Arial" w:hAnsi="Arial"/>
                <w:color w:val="6B7280"/>
                <w:sz w:val="19"/>
                <w:szCs w:val="19"/>
              </w:rPr>
              <w:t xml:space="preserve">☐  Class A      ☐  Class B      ☐  Class C</w:t>
            </w:r>
          </w:p>
        </w:tc>
      </w:tr>
      <w:tr>
        <w:tc>
          <w:tcPr>
            <w:tcW w:type="dxa" w:w="3300"/>
            <w:tcBorders>
              <w:top w:val="single" w:color="D9DEE3" w:sz="4"/>
              <w:left w:val="single" w:color="D9DEE3" w:sz="4"/>
              <w:bottom w:val="single" w:color="D9DEE3" w:sz="4"/>
              <w:right w:val="single" w:color="D9DEE3" w:sz="4"/>
            </w:tcBorders>
            <w:shd w:fill="F6F8FA" w:val="clear"/>
            <w:tcMar>
              <w:top w:type="dxa" w:w="80"/>
              <w:left w:type="dxa" w:w="140"/>
              <w:bottom w:type="dxa" w:w="80"/>
              <w:right w:type="dxa" w:w="140"/>
            </w:tcMar>
          </w:tcPr>
          <w:p>
            <w:r>
              <w:rPr>
                <w:rFonts w:ascii="Arial" w:cs="Arial" w:eastAsia="Arial" w:hAnsi="Arial"/>
                <w:b/>
                <w:bCs/>
                <w:color w:val="040507"/>
                <w:sz w:val="19"/>
                <w:szCs w:val="19"/>
              </w:rPr>
              <w:t xml:space="preserve">Number of Shares</w:t>
            </w:r>
          </w:p>
        </w:tc>
        <w:tc>
          <w:tcPr>
            <w:tcW w:type="dxa" w:w="6780"/>
            <w:tcBorders>
              <w:top w:val="single" w:color="D9DEE3" w:sz="4"/>
              <w:left w:val="single" w:color="D9DEE3" w:sz="4"/>
              <w:bottom w:val="single" w:color="D9DEE3" w:sz="4"/>
              <w:right w:val="single" w:color="D9DEE3" w:sz="4"/>
            </w:tcBorders>
            <w:tcMar>
              <w:top w:type="dxa" w:w="80"/>
              <w:left w:type="dxa" w:w="140"/>
              <w:bottom w:type="dxa" w:w="80"/>
              <w:right w:type="dxa" w:w="140"/>
            </w:tcMar>
          </w:tcPr>
          <w:p>
            <w:r>
              <w:rPr>
                <w:rFonts w:ascii="Arial" w:cs="Arial" w:eastAsia="Arial" w:hAnsi="Arial"/>
                <w:color w:val="6B7280"/>
                <w:sz w:val="19"/>
                <w:szCs w:val="19"/>
              </w:rPr>
              <w:t xml:space="preserve">______________________________</w:t>
            </w:r>
          </w:p>
        </w:tc>
      </w:tr>
      <w:tr>
        <w:tc>
          <w:tcPr>
            <w:tcW w:type="dxa" w:w="3300"/>
            <w:tcBorders>
              <w:top w:val="single" w:color="D9DEE3" w:sz="4"/>
              <w:left w:val="single" w:color="D9DEE3" w:sz="4"/>
              <w:bottom w:val="single" w:color="D9DEE3" w:sz="4"/>
              <w:right w:val="single" w:color="D9DEE3" w:sz="4"/>
            </w:tcBorders>
            <w:shd w:fill="F6F8FA" w:val="clear"/>
            <w:tcMar>
              <w:top w:type="dxa" w:w="80"/>
              <w:left w:type="dxa" w:w="140"/>
              <w:bottom w:type="dxa" w:w="80"/>
              <w:right w:type="dxa" w:w="140"/>
            </w:tcMar>
          </w:tcPr>
          <w:p>
            <w:r>
              <w:rPr>
                <w:rFonts w:ascii="Arial" w:cs="Arial" w:eastAsia="Arial" w:hAnsi="Arial"/>
                <w:b/>
                <w:bCs/>
                <w:color w:val="040507"/>
                <w:sz w:val="19"/>
                <w:szCs w:val="19"/>
              </w:rPr>
              <w:t xml:space="preserve">Price Per Share</w:t>
            </w:r>
          </w:p>
        </w:tc>
        <w:tc>
          <w:tcPr>
            <w:tcW w:type="dxa" w:w="6780"/>
            <w:tcBorders>
              <w:top w:val="single" w:color="D9DEE3" w:sz="4"/>
              <w:left w:val="single" w:color="D9DEE3" w:sz="4"/>
              <w:bottom w:val="single" w:color="D9DEE3" w:sz="4"/>
              <w:right w:val="single" w:color="D9DEE3" w:sz="4"/>
            </w:tcBorders>
            <w:tcMar>
              <w:top w:type="dxa" w:w="80"/>
              <w:left w:type="dxa" w:w="140"/>
              <w:bottom w:type="dxa" w:w="80"/>
              <w:right w:type="dxa" w:w="140"/>
            </w:tcMar>
          </w:tcPr>
          <w:p>
            <w:r>
              <w:rPr>
                <w:rFonts w:ascii="Arial" w:cs="Arial" w:eastAsia="Arial" w:hAnsi="Arial"/>
                <w:color w:val="6B7280"/>
                <w:sz w:val="19"/>
                <w:szCs w:val="19"/>
              </w:rPr>
              <w:t xml:space="preserve">$ ____________________________</w:t>
            </w:r>
          </w:p>
        </w:tc>
      </w:tr>
      <w:tr>
        <w:tc>
          <w:tcPr>
            <w:tcW w:type="dxa" w:w="3300"/>
            <w:tcBorders>
              <w:top w:val="single" w:color="D9DEE3" w:sz="4"/>
              <w:left w:val="single" w:color="D9DEE3" w:sz="4"/>
              <w:bottom w:val="single" w:color="D9DEE3" w:sz="4"/>
              <w:right w:val="single" w:color="D9DEE3" w:sz="4"/>
            </w:tcBorders>
            <w:shd w:fill="F6F8FA" w:val="clear"/>
            <w:tcMar>
              <w:top w:type="dxa" w:w="80"/>
              <w:left w:type="dxa" w:w="140"/>
              <w:bottom w:type="dxa" w:w="80"/>
              <w:right w:type="dxa" w:w="140"/>
            </w:tcMar>
          </w:tcPr>
          <w:p>
            <w:r>
              <w:rPr>
                <w:rFonts w:ascii="Arial" w:cs="Arial" w:eastAsia="Arial" w:hAnsi="Arial"/>
                <w:b/>
                <w:bCs/>
                <w:color w:val="040507"/>
                <w:sz w:val="19"/>
                <w:szCs w:val="19"/>
              </w:rPr>
              <w:t xml:space="preserve">Total Purchase Price</w:t>
            </w:r>
          </w:p>
        </w:tc>
        <w:tc>
          <w:tcPr>
            <w:tcW w:type="dxa" w:w="6780"/>
            <w:tcBorders>
              <w:top w:val="single" w:color="D9DEE3" w:sz="4"/>
              <w:left w:val="single" w:color="D9DEE3" w:sz="4"/>
              <w:bottom w:val="single" w:color="D9DEE3" w:sz="4"/>
              <w:right w:val="single" w:color="D9DEE3" w:sz="4"/>
            </w:tcBorders>
            <w:tcMar>
              <w:top w:type="dxa" w:w="80"/>
              <w:left w:type="dxa" w:w="140"/>
              <w:bottom w:type="dxa" w:w="80"/>
              <w:right w:type="dxa" w:w="140"/>
            </w:tcMar>
          </w:tcPr>
          <w:p>
            <w:r>
              <w:rPr>
                <w:rFonts w:ascii="Arial" w:cs="Arial" w:eastAsia="Arial" w:hAnsi="Arial"/>
                <w:color w:val="6B7280"/>
                <w:sz w:val="19"/>
                <w:szCs w:val="19"/>
              </w:rPr>
              <w:t xml:space="preserve">$ ____________________________</w:t>
            </w:r>
          </w:p>
        </w:tc>
      </w:tr>
      <w:tr>
        <w:tc>
          <w:tcPr>
            <w:tcW w:type="dxa" w:w="3300"/>
            <w:tcBorders>
              <w:top w:val="single" w:color="D9DEE3" w:sz="4"/>
              <w:left w:val="single" w:color="D9DEE3" w:sz="4"/>
              <w:bottom w:val="single" w:color="D9DEE3" w:sz="4"/>
              <w:right w:val="single" w:color="D9DEE3" w:sz="4"/>
            </w:tcBorders>
            <w:shd w:fill="F6F8FA" w:val="clear"/>
            <w:tcMar>
              <w:top w:type="dxa" w:w="80"/>
              <w:left w:type="dxa" w:w="140"/>
              <w:bottom w:type="dxa" w:w="80"/>
              <w:right w:type="dxa" w:w="140"/>
            </w:tcMar>
          </w:tcPr>
          <w:p>
            <w:r>
              <w:rPr>
                <w:rFonts w:ascii="Arial" w:cs="Arial" w:eastAsia="Arial" w:hAnsi="Arial"/>
                <w:b/>
                <w:bCs/>
                <w:color w:val="040507"/>
                <w:sz w:val="19"/>
                <w:szCs w:val="19"/>
              </w:rPr>
              <w:t xml:space="preserve">Seller Name</w:t>
            </w:r>
          </w:p>
        </w:tc>
        <w:tc>
          <w:tcPr>
            <w:tcW w:type="dxa" w:w="6780"/>
            <w:tcBorders>
              <w:top w:val="single" w:color="D9DEE3" w:sz="4"/>
              <w:left w:val="single" w:color="D9DEE3" w:sz="4"/>
              <w:bottom w:val="single" w:color="D9DEE3" w:sz="4"/>
              <w:right w:val="single" w:color="D9DEE3" w:sz="4"/>
            </w:tcBorders>
            <w:tcMar>
              <w:top w:type="dxa" w:w="80"/>
              <w:left w:type="dxa" w:w="140"/>
              <w:bottom w:type="dxa" w:w="80"/>
              <w:right w:type="dxa" w:w="140"/>
            </w:tcMar>
          </w:tcPr>
          <w:p>
            <w:r>
              <w:rPr>
                <w:rFonts w:ascii="Arial" w:cs="Arial" w:eastAsia="Arial" w:hAnsi="Arial"/>
                <w:color w:val="6B7280"/>
                <w:sz w:val="19"/>
                <w:szCs w:val="19"/>
              </w:rPr>
              <w:t xml:space="preserve">______________________________</w:t>
            </w:r>
          </w:p>
        </w:tc>
      </w:tr>
      <w:tr>
        <w:tc>
          <w:tcPr>
            <w:tcW w:type="dxa" w:w="3300"/>
            <w:tcBorders>
              <w:top w:val="single" w:color="D9DEE3" w:sz="4"/>
              <w:left w:val="single" w:color="D9DEE3" w:sz="4"/>
              <w:bottom w:val="single" w:color="D9DEE3" w:sz="4"/>
              <w:right w:val="single" w:color="D9DEE3" w:sz="4"/>
            </w:tcBorders>
            <w:shd w:fill="F6F8FA" w:val="clear"/>
            <w:tcMar>
              <w:top w:type="dxa" w:w="80"/>
              <w:left w:type="dxa" w:w="140"/>
              <w:bottom w:type="dxa" w:w="80"/>
              <w:right w:type="dxa" w:w="140"/>
            </w:tcMar>
          </w:tcPr>
          <w:p>
            <w:r>
              <w:rPr>
                <w:rFonts w:ascii="Arial" w:cs="Arial" w:eastAsia="Arial" w:hAnsi="Arial"/>
                <w:b/>
                <w:bCs/>
                <w:color w:val="040507"/>
                <w:sz w:val="19"/>
                <w:szCs w:val="19"/>
              </w:rPr>
              <w:t xml:space="preserve">Buyer Name</w:t>
            </w:r>
          </w:p>
        </w:tc>
        <w:tc>
          <w:tcPr>
            <w:tcW w:type="dxa" w:w="6780"/>
            <w:tcBorders>
              <w:top w:val="single" w:color="D9DEE3" w:sz="4"/>
              <w:left w:val="single" w:color="D9DEE3" w:sz="4"/>
              <w:bottom w:val="single" w:color="D9DEE3" w:sz="4"/>
              <w:right w:val="single" w:color="D9DEE3" w:sz="4"/>
            </w:tcBorders>
            <w:tcMar>
              <w:top w:type="dxa" w:w="80"/>
              <w:left w:type="dxa" w:w="140"/>
              <w:bottom w:type="dxa" w:w="80"/>
              <w:right w:type="dxa" w:w="140"/>
            </w:tcMar>
          </w:tcPr>
          <w:p>
            <w:r>
              <w:rPr>
                <w:rFonts w:ascii="Arial" w:cs="Arial" w:eastAsia="Arial" w:hAnsi="Arial"/>
                <w:color w:val="6B7280"/>
                <w:sz w:val="19"/>
                <w:szCs w:val="19"/>
              </w:rPr>
              <w:t xml:space="preserve">______________________________</w:t>
            </w:r>
          </w:p>
        </w:tc>
      </w:tr>
      <w:tr>
        <w:tc>
          <w:tcPr>
            <w:tcW w:type="dxa" w:w="3300"/>
            <w:tcBorders>
              <w:top w:val="single" w:color="D9DEE3" w:sz="4"/>
              <w:left w:val="single" w:color="D9DEE3" w:sz="4"/>
              <w:bottom w:val="single" w:color="D9DEE3" w:sz="4"/>
              <w:right w:val="single" w:color="D9DEE3" w:sz="4"/>
            </w:tcBorders>
            <w:shd w:fill="F6F8FA" w:val="clear"/>
            <w:tcMar>
              <w:top w:type="dxa" w:w="80"/>
              <w:left w:type="dxa" w:w="140"/>
              <w:bottom w:type="dxa" w:w="80"/>
              <w:right w:type="dxa" w:w="140"/>
            </w:tcMar>
          </w:tcPr>
          <w:p>
            <w:r>
              <w:rPr>
                <w:rFonts w:ascii="Arial" w:cs="Arial" w:eastAsia="Arial" w:hAnsi="Arial"/>
                <w:b/>
                <w:bCs/>
                <w:color w:val="040507"/>
                <w:sz w:val="19"/>
                <w:szCs w:val="19"/>
              </w:rPr>
              <w:t xml:space="preserve">Closing Date</w:t>
            </w:r>
          </w:p>
        </w:tc>
        <w:tc>
          <w:tcPr>
            <w:tcW w:type="dxa" w:w="6780"/>
            <w:tcBorders>
              <w:top w:val="single" w:color="D9DEE3" w:sz="4"/>
              <w:left w:val="single" w:color="D9DEE3" w:sz="4"/>
              <w:bottom w:val="single" w:color="D9DEE3" w:sz="4"/>
              <w:right w:val="single" w:color="D9DEE3" w:sz="4"/>
            </w:tcBorders>
            <w:tcMar>
              <w:top w:type="dxa" w:w="80"/>
              <w:left w:type="dxa" w:w="140"/>
              <w:bottom w:type="dxa" w:w="80"/>
              <w:right w:type="dxa" w:w="140"/>
            </w:tcMar>
          </w:tcPr>
          <w:p>
            <w:r>
              <w:rPr>
                <w:rFonts w:ascii="Arial" w:cs="Arial" w:eastAsia="Arial" w:hAnsi="Arial"/>
                <w:color w:val="6B7280"/>
                <w:sz w:val="19"/>
                <w:szCs w:val="19"/>
              </w:rPr>
              <w:t xml:space="preserve">______________________________</w:t>
            </w:r>
          </w:p>
        </w:tc>
      </w:tr>
      <w:tr>
        <w:tc>
          <w:tcPr>
            <w:tcW w:type="dxa" w:w="3300"/>
            <w:tcBorders>
              <w:top w:val="single" w:color="D9DEE3" w:sz="4"/>
              <w:left w:val="single" w:color="D9DEE3" w:sz="4"/>
              <w:bottom w:val="single" w:color="D9DEE3" w:sz="4"/>
              <w:right w:val="single" w:color="D9DEE3" w:sz="4"/>
            </w:tcBorders>
            <w:shd w:fill="F6F8FA" w:val="clear"/>
            <w:tcMar>
              <w:top w:type="dxa" w:w="80"/>
              <w:left w:type="dxa" w:w="140"/>
              <w:bottom w:type="dxa" w:w="80"/>
              <w:right w:type="dxa" w:w="140"/>
            </w:tcMar>
          </w:tcPr>
          <w:p>
            <w:r>
              <w:rPr>
                <w:rFonts w:ascii="Arial" w:cs="Arial" w:eastAsia="Arial" w:hAnsi="Arial"/>
                <w:b/>
                <w:bCs/>
                <w:color w:val="040507"/>
                <w:sz w:val="19"/>
                <w:szCs w:val="19"/>
              </w:rPr>
              <w:t xml:space="preserve">ROFR Waiver Date</w:t>
            </w:r>
          </w:p>
        </w:tc>
        <w:tc>
          <w:tcPr>
            <w:tcW w:type="dxa" w:w="6780"/>
            <w:tcBorders>
              <w:top w:val="single" w:color="D9DEE3" w:sz="4"/>
              <w:left w:val="single" w:color="D9DEE3" w:sz="4"/>
              <w:bottom w:val="single" w:color="D9DEE3" w:sz="4"/>
              <w:right w:val="single" w:color="D9DEE3" w:sz="4"/>
            </w:tcBorders>
            <w:tcMar>
              <w:top w:type="dxa" w:w="80"/>
              <w:left w:type="dxa" w:w="140"/>
              <w:bottom w:type="dxa" w:w="80"/>
              <w:right w:type="dxa" w:w="140"/>
            </w:tcMar>
          </w:tcPr>
          <w:p>
            <w:r>
              <w:rPr>
                <w:rFonts w:ascii="Arial" w:cs="Arial" w:eastAsia="Arial" w:hAnsi="Arial"/>
                <w:color w:val="6B7280"/>
                <w:sz w:val="19"/>
                <w:szCs w:val="19"/>
              </w:rPr>
              <w:t xml:space="preserve">______________________________</w:t>
            </w:r>
          </w:p>
        </w:tc>
      </w:tr>
      <w:tr>
        <w:tc>
          <w:tcPr>
            <w:tcW w:type="dxa" w:w="3300"/>
            <w:tcBorders>
              <w:top w:val="single" w:color="D9DEE3" w:sz="4"/>
              <w:left w:val="single" w:color="D9DEE3" w:sz="4"/>
              <w:bottom w:val="single" w:color="D9DEE3" w:sz="4"/>
              <w:right w:val="single" w:color="D9DEE3" w:sz="4"/>
            </w:tcBorders>
            <w:shd w:fill="F6F8FA" w:val="clear"/>
            <w:tcMar>
              <w:top w:type="dxa" w:w="80"/>
              <w:left w:type="dxa" w:w="140"/>
              <w:bottom w:type="dxa" w:w="80"/>
              <w:right w:type="dxa" w:w="140"/>
            </w:tcMar>
          </w:tcPr>
          <w:p>
            <w:r>
              <w:rPr>
                <w:rFonts w:ascii="Arial" w:cs="Arial" w:eastAsia="Arial" w:hAnsi="Arial"/>
                <w:b/>
                <w:bCs/>
                <w:color w:val="040507"/>
                <w:sz w:val="19"/>
                <w:szCs w:val="19"/>
              </w:rPr>
              <w:t xml:space="preserve">Board Resolution Date</w:t>
            </w:r>
          </w:p>
        </w:tc>
        <w:tc>
          <w:tcPr>
            <w:tcW w:type="dxa" w:w="6780"/>
            <w:tcBorders>
              <w:top w:val="single" w:color="D9DEE3" w:sz="4"/>
              <w:left w:val="single" w:color="D9DEE3" w:sz="4"/>
              <w:bottom w:val="single" w:color="D9DEE3" w:sz="4"/>
              <w:right w:val="single" w:color="D9DEE3" w:sz="4"/>
            </w:tcBorders>
            <w:tcMar>
              <w:top w:type="dxa" w:w="80"/>
              <w:left w:type="dxa" w:w="140"/>
              <w:bottom w:type="dxa" w:w="80"/>
              <w:right w:type="dxa" w:w="140"/>
            </w:tcMar>
          </w:tcPr>
          <w:p>
            <w:r>
              <w:rPr>
                <w:rFonts w:ascii="Arial" w:cs="Arial" w:eastAsia="Arial" w:hAnsi="Arial"/>
                <w:color w:val="6B7280"/>
                <w:sz w:val="19"/>
                <w:szCs w:val="19"/>
              </w:rPr>
              <w:t xml:space="preserve">______________________________</w:t>
            </w:r>
          </w:p>
        </w:tc>
      </w:tr>
    </w:tbl>
    <w:p>
      <w:r>
        <w:br w:type="page"/>
      </w:r>
    </w:p>
    <w:p>
      <w:pPr>
        <w:spacing w:after="60" w:before="300"/>
      </w:pPr>
      <w:r>
        <w:rPr>
          <w:rFonts w:ascii="Arial" w:cs="Arial" w:eastAsia="Arial" w:hAnsi="Arial"/>
          <w:b/>
          <w:bCs/>
          <w:color w:val="6B7280"/>
          <w:spacing w:val="50"/>
          <w:sz w:val="15"/>
          <w:szCs w:val="15"/>
        </w:rPr>
        <w:t xml:space="preserve">EXECUTION</w:t>
      </w:r>
    </w:p>
    <w:p>
      <w:pPr>
        <w:pBdr>
          <w:bottom w:val="single" w:color="D9DEE3" w:sz="4" w:space="2"/>
        </w:pBdr>
        <w:spacing w:after="80" w:before="220"/>
      </w:pPr>
      <w:r>
        <w:rPr>
          <w:rFonts w:ascii="Arial" w:cs="Arial" w:eastAsia="Arial" w:hAnsi="Arial"/>
          <w:b/>
          <w:bCs/>
          <w:color w:val="040507"/>
          <w:sz w:val="26"/>
          <w:szCs w:val="26"/>
        </w:rPr>
        <w:t xml:space="preserve">Signature Page</w:t>
      </w:r>
    </w:p>
    <w:p>
      <w:pPr>
        <w:spacing w:after="140" w:line="276"/>
      </w:pPr>
      <w:r>
        <w:rPr>
          <w:rFonts w:ascii="Arial" w:cs="Arial" w:eastAsia="Arial" w:hAnsi="Arial"/>
          <w:i/>
          <w:iCs/>
          <w:color w:val="6B7280"/>
          <w:sz w:val="19"/>
          <w:szCs w:val="19"/>
        </w:rPr>
        <w:t xml:space="preserve">IN WITNESS WHEREOF, the undersigned have executed this Agreement as of the Closing Date.</w:t>
      </w:r>
    </w:p>
    <w:p>
      <w:pPr>
        <w:spacing w:after="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3360"/>
      </w:tblGrid>
      <w:tr>
        <w:tc>
          <w:tcPr>
            <w:tcW w:type="dxa" w:w="3300"/>
            <w:tcBorders>
              <w:top w:val="single" w:color="D9DEE3" w:sz="4"/>
              <w:left w:val="single" w:color="D9DEE3" w:sz="4"/>
              <w:bottom w:val="single" w:color="D9DEE3" w:sz="4"/>
              <w:right w:val="single" w:color="D9DEE3" w:sz="4"/>
            </w:tcBorders>
            <w:tcMar>
              <w:top w:type="dxa" w:w="120"/>
              <w:left w:type="dxa" w:w="150"/>
              <w:bottom w:type="dxa" w:w="140"/>
              <w:right w:type="dxa" w:w="150"/>
            </w:tcMar>
          </w:tcPr>
          <w:p>
            <w:pPr>
              <w:spacing w:after="60"/>
            </w:pPr>
            <w:r>
              <w:rPr>
                <w:rFonts w:ascii="Arial" w:cs="Arial" w:eastAsia="Arial" w:hAnsi="Arial"/>
                <w:b/>
                <w:bCs/>
                <w:color w:val="00AECF"/>
                <w:spacing w:val="25"/>
                <w:sz w:val="14"/>
                <w:szCs w:val="14"/>
              </w:rPr>
              <w:t xml:space="preserve">Seller</w:t>
            </w:r>
          </w:p>
          <w:p>
            <w:pPr>
              <w:pBdr>
                <w:bottom w:val="single" w:color="040507" w:sz="4" w:space="6"/>
              </w:pBdr>
              <w:spacing w:after="0" w:before="120"/>
            </w:pPr>
            <w:r>
              <w:rPr>
                <w:rFonts w:ascii="Arial" w:cs="Arial" w:eastAsia="Arial" w:hAnsi="Arial"/>
                <w:sz w:val="18"/>
                <w:szCs w:val="18"/>
              </w:rPr>
              <w:t xml:space="preserve"> </w:t>
            </w:r>
          </w:p>
          <w:p>
            <w:pPr>
              <w:spacing w:before="10"/>
            </w:pPr>
            <w:r>
              <w:rPr>
                <w:rFonts w:ascii="Arial" w:cs="Arial" w:eastAsia="Arial" w:hAnsi="Arial"/>
                <w:color w:val="6B7280"/>
                <w:spacing w:val="15"/>
                <w:sz w:val="12"/>
                <w:szCs w:val="12"/>
              </w:rPr>
              <w:t xml:space="preserve">NAME</w:t>
            </w:r>
          </w:p>
          <w:p>
            <w:pPr>
              <w:pBdr>
                <w:bottom w:val="single" w:color="040507" w:sz="4" w:space="6"/>
              </w:pBdr>
              <w:spacing w:after="0" w:before="120"/>
            </w:pPr>
            <w:r>
              <w:rPr>
                <w:rFonts w:ascii="Arial" w:cs="Arial" w:eastAsia="Arial" w:hAnsi="Arial"/>
                <w:sz w:val="18"/>
                <w:szCs w:val="18"/>
              </w:rPr>
              <w:t xml:space="preserve"> </w:t>
            </w:r>
          </w:p>
          <w:p>
            <w:pPr>
              <w:spacing w:before="10"/>
            </w:pPr>
            <w:r>
              <w:rPr>
                <w:rFonts w:ascii="Arial" w:cs="Arial" w:eastAsia="Arial" w:hAnsi="Arial"/>
                <w:color w:val="6B7280"/>
                <w:spacing w:val="15"/>
                <w:sz w:val="12"/>
                <w:szCs w:val="12"/>
              </w:rPr>
              <w:t xml:space="preserve">SIGNATURE</w:t>
            </w:r>
          </w:p>
          <w:p>
            <w:pPr>
              <w:pBdr>
                <w:bottom w:val="single" w:color="040507" w:sz="4" w:space="6"/>
              </w:pBdr>
              <w:spacing w:after="0" w:before="120"/>
            </w:pPr>
            <w:r>
              <w:rPr>
                <w:rFonts w:ascii="Arial" w:cs="Arial" w:eastAsia="Arial" w:hAnsi="Arial"/>
                <w:sz w:val="18"/>
                <w:szCs w:val="18"/>
              </w:rPr>
              <w:t xml:space="preserve"> </w:t>
            </w:r>
          </w:p>
          <w:p>
            <w:pPr>
              <w:spacing w:before="10"/>
            </w:pPr>
            <w:r>
              <w:rPr>
                <w:rFonts w:ascii="Arial" w:cs="Arial" w:eastAsia="Arial" w:hAnsi="Arial"/>
                <w:color w:val="6B7280"/>
                <w:spacing w:val="15"/>
                <w:sz w:val="12"/>
                <w:szCs w:val="12"/>
              </w:rPr>
              <w:t xml:space="preserve">DATE</w:t>
            </w:r>
          </w:p>
          <w:p>
            <w:pPr>
              <w:pBdr>
                <w:bottom w:val="single" w:color="040507" w:sz="4" w:space="6"/>
              </w:pBdr>
              <w:spacing w:after="0" w:before="120"/>
            </w:pPr>
            <w:r>
              <w:rPr>
                <w:rFonts w:ascii="Arial" w:cs="Arial" w:eastAsia="Arial" w:hAnsi="Arial"/>
                <w:sz w:val="18"/>
                <w:szCs w:val="18"/>
              </w:rPr>
              <w:t xml:space="preserve"> </w:t>
            </w:r>
          </w:p>
          <w:p>
            <w:pPr>
              <w:spacing w:before="10"/>
            </w:pPr>
            <w:r>
              <w:rPr>
                <w:rFonts w:ascii="Arial" w:cs="Arial" w:eastAsia="Arial" w:hAnsi="Arial"/>
                <w:color w:val="6B7280"/>
                <w:spacing w:val="15"/>
                <w:sz w:val="12"/>
                <w:szCs w:val="12"/>
              </w:rPr>
              <w:t xml:space="preserve">EMAIL</w:t>
            </w:r>
          </w:p>
        </w:tc>
        <w:tc>
          <w:tcPr>
            <w:tcW w:type="dxa" w:w="3300"/>
            <w:tcBorders>
              <w:top w:val="single" w:color="D9DEE3" w:sz="4"/>
              <w:left w:val="single" w:color="D9DEE3" w:sz="4"/>
              <w:bottom w:val="single" w:color="D9DEE3" w:sz="4"/>
              <w:right w:val="single" w:color="D9DEE3" w:sz="4"/>
            </w:tcBorders>
            <w:tcMar>
              <w:top w:type="dxa" w:w="120"/>
              <w:left w:type="dxa" w:w="150"/>
              <w:bottom w:type="dxa" w:w="140"/>
              <w:right w:type="dxa" w:w="150"/>
            </w:tcMar>
          </w:tcPr>
          <w:p>
            <w:pPr>
              <w:spacing w:after="60"/>
            </w:pPr>
            <w:r>
              <w:rPr>
                <w:rFonts w:ascii="Arial" w:cs="Arial" w:eastAsia="Arial" w:hAnsi="Arial"/>
                <w:b/>
                <w:bCs/>
                <w:color w:val="00AECF"/>
                <w:spacing w:val="25"/>
                <w:sz w:val="14"/>
                <w:szCs w:val="14"/>
              </w:rPr>
              <w:t xml:space="preserve">Buyer</w:t>
            </w:r>
          </w:p>
          <w:p>
            <w:pPr>
              <w:pBdr>
                <w:bottom w:val="single" w:color="040507" w:sz="4" w:space="6"/>
              </w:pBdr>
              <w:spacing w:after="0" w:before="120"/>
            </w:pPr>
            <w:r>
              <w:rPr>
                <w:rFonts w:ascii="Arial" w:cs="Arial" w:eastAsia="Arial" w:hAnsi="Arial"/>
                <w:sz w:val="18"/>
                <w:szCs w:val="18"/>
              </w:rPr>
              <w:t xml:space="preserve"> </w:t>
            </w:r>
          </w:p>
          <w:p>
            <w:pPr>
              <w:spacing w:before="10"/>
            </w:pPr>
            <w:r>
              <w:rPr>
                <w:rFonts w:ascii="Arial" w:cs="Arial" w:eastAsia="Arial" w:hAnsi="Arial"/>
                <w:color w:val="6B7280"/>
                <w:spacing w:val="15"/>
                <w:sz w:val="12"/>
                <w:szCs w:val="12"/>
              </w:rPr>
              <w:t xml:space="preserve">NAME</w:t>
            </w:r>
          </w:p>
          <w:p>
            <w:pPr>
              <w:pBdr>
                <w:bottom w:val="single" w:color="040507" w:sz="4" w:space="6"/>
              </w:pBdr>
              <w:spacing w:after="0" w:before="120"/>
            </w:pPr>
            <w:r>
              <w:rPr>
                <w:rFonts w:ascii="Arial" w:cs="Arial" w:eastAsia="Arial" w:hAnsi="Arial"/>
                <w:sz w:val="18"/>
                <w:szCs w:val="18"/>
              </w:rPr>
              <w:t xml:space="preserve"> </w:t>
            </w:r>
          </w:p>
          <w:p>
            <w:pPr>
              <w:spacing w:before="10"/>
            </w:pPr>
            <w:r>
              <w:rPr>
                <w:rFonts w:ascii="Arial" w:cs="Arial" w:eastAsia="Arial" w:hAnsi="Arial"/>
                <w:color w:val="6B7280"/>
                <w:spacing w:val="15"/>
                <w:sz w:val="12"/>
                <w:szCs w:val="12"/>
              </w:rPr>
              <w:t xml:space="preserve">SIGNATURE</w:t>
            </w:r>
          </w:p>
          <w:p>
            <w:pPr>
              <w:pBdr>
                <w:bottom w:val="single" w:color="040507" w:sz="4" w:space="6"/>
              </w:pBdr>
              <w:spacing w:after="0" w:before="120"/>
            </w:pPr>
            <w:r>
              <w:rPr>
                <w:rFonts w:ascii="Arial" w:cs="Arial" w:eastAsia="Arial" w:hAnsi="Arial"/>
                <w:sz w:val="18"/>
                <w:szCs w:val="18"/>
              </w:rPr>
              <w:t xml:space="preserve"> </w:t>
            </w:r>
          </w:p>
          <w:p>
            <w:pPr>
              <w:spacing w:before="10"/>
            </w:pPr>
            <w:r>
              <w:rPr>
                <w:rFonts w:ascii="Arial" w:cs="Arial" w:eastAsia="Arial" w:hAnsi="Arial"/>
                <w:color w:val="6B7280"/>
                <w:spacing w:val="15"/>
                <w:sz w:val="12"/>
                <w:szCs w:val="12"/>
              </w:rPr>
              <w:t xml:space="preserve">DATE</w:t>
            </w:r>
          </w:p>
          <w:p>
            <w:pPr>
              <w:pBdr>
                <w:bottom w:val="single" w:color="040507" w:sz="4" w:space="6"/>
              </w:pBdr>
              <w:spacing w:after="0" w:before="120"/>
            </w:pPr>
            <w:r>
              <w:rPr>
                <w:rFonts w:ascii="Arial" w:cs="Arial" w:eastAsia="Arial" w:hAnsi="Arial"/>
                <w:sz w:val="18"/>
                <w:szCs w:val="18"/>
              </w:rPr>
              <w:t xml:space="preserve"> </w:t>
            </w:r>
          </w:p>
          <w:p>
            <w:pPr>
              <w:spacing w:before="10"/>
            </w:pPr>
            <w:r>
              <w:rPr>
                <w:rFonts w:ascii="Arial" w:cs="Arial" w:eastAsia="Arial" w:hAnsi="Arial"/>
                <w:color w:val="6B7280"/>
                <w:spacing w:val="15"/>
                <w:sz w:val="12"/>
                <w:szCs w:val="12"/>
              </w:rPr>
              <w:t xml:space="preserve">EMAIL</w:t>
            </w:r>
          </w:p>
        </w:tc>
        <w:tc>
          <w:tcPr>
            <w:tcW w:type="dxa" w:w="3300"/>
            <w:tcBorders>
              <w:top w:val="single" w:color="D9DEE3" w:sz="4"/>
              <w:left w:val="single" w:color="D9DEE3" w:sz="4"/>
              <w:bottom w:val="single" w:color="D9DEE3" w:sz="4"/>
              <w:right w:val="single" w:color="D9DEE3" w:sz="4"/>
            </w:tcBorders>
            <w:tcMar>
              <w:top w:type="dxa" w:w="120"/>
              <w:left w:type="dxa" w:w="150"/>
              <w:bottom w:type="dxa" w:w="140"/>
              <w:right w:type="dxa" w:w="150"/>
            </w:tcMar>
          </w:tcPr>
          <w:p>
            <w:pPr>
              <w:spacing w:after="60"/>
            </w:pPr>
            <w:r>
              <w:rPr>
                <w:rFonts w:ascii="Arial" w:cs="Arial" w:eastAsia="Arial" w:hAnsi="Arial"/>
                <w:b/>
                <w:bCs/>
                <w:color w:val="00AECF"/>
                <w:spacing w:val="25"/>
                <w:sz w:val="14"/>
                <w:szCs w:val="14"/>
              </w:rPr>
              <w:t xml:space="preserve">Company Consent — Music Habitat, Inc.</w:t>
            </w:r>
          </w:p>
          <w:p>
            <w:pPr>
              <w:pBdr>
                <w:bottom w:val="single" w:color="040507" w:sz="4" w:space="6"/>
              </w:pBdr>
              <w:spacing w:after="0" w:before="120"/>
            </w:pPr>
            <w:r>
              <w:rPr>
                <w:rFonts w:ascii="Arial" w:cs="Arial" w:eastAsia="Arial" w:hAnsi="Arial"/>
                <w:sz w:val="18"/>
                <w:szCs w:val="18"/>
              </w:rPr>
              <w:t xml:space="preserve"> </w:t>
            </w:r>
          </w:p>
          <w:p>
            <w:pPr>
              <w:spacing w:before="10"/>
            </w:pPr>
            <w:r>
              <w:rPr>
                <w:rFonts w:ascii="Arial" w:cs="Arial" w:eastAsia="Arial" w:hAnsi="Arial"/>
                <w:color w:val="6B7280"/>
                <w:spacing w:val="15"/>
                <w:sz w:val="12"/>
                <w:szCs w:val="12"/>
              </w:rPr>
              <w:t xml:space="preserve">BY (CEO) — BRANDON BEARD</w:t>
            </w:r>
          </w:p>
          <w:p>
            <w:pPr>
              <w:pBdr>
                <w:bottom w:val="single" w:color="040507" w:sz="4" w:space="6"/>
              </w:pBdr>
              <w:spacing w:after="0" w:before="120"/>
            </w:pPr>
            <w:r>
              <w:rPr>
                <w:rFonts w:ascii="Arial" w:cs="Arial" w:eastAsia="Arial" w:hAnsi="Arial"/>
                <w:sz w:val="18"/>
                <w:szCs w:val="18"/>
              </w:rPr>
              <w:t xml:space="preserve"> </w:t>
            </w:r>
          </w:p>
          <w:p>
            <w:pPr>
              <w:spacing w:before="10"/>
            </w:pPr>
            <w:r>
              <w:rPr>
                <w:rFonts w:ascii="Arial" w:cs="Arial" w:eastAsia="Arial" w:hAnsi="Arial"/>
                <w:color w:val="6B7280"/>
                <w:spacing w:val="15"/>
                <w:sz w:val="12"/>
                <w:szCs w:val="12"/>
              </w:rPr>
              <w:t xml:space="preserve">DATE</w:t>
            </w:r>
          </w:p>
        </w:tc>
      </w:tr>
    </w:tbl>
    <w:sectPr>
      <w:headerReference w:type="default" r:id="rId7"/>
      <w:headerReference w:type="first" r:id="rId8"/>
      <w:footerReference w:type="default" r:id="rId9"/>
      <w:pgSz w:w="12240" w:h="15840" w:orient="portrait"/>
      <w:pgMar w:top="1080" w:right="1080" w:bottom="1080" w:left="108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DEE3" w:sz="4" w:space="2"/>
      </w:pBdr>
      <w:tabs>
        <w:tab w:val="center" w:pos="5040"/>
        <w:tab w:val="right" w:pos="10080"/>
      </w:tabs>
      <w:spacing w:before="40"/>
    </w:pPr>
    <w:r>
      <w:rPr>
        <w:rFonts w:ascii="Arial" w:cs="Arial" w:eastAsia="Arial" w:hAnsi="Arial"/>
        <w:b/>
        <w:bCs/>
        <w:color w:val="040507"/>
        <w:spacing w:val="15"/>
        <w:sz w:val="12"/>
        <w:szCs w:val="12"/>
      </w:rPr>
      <w:t xml:space="preserve">MUSIC HABITAT, INC.</w:t>
    </w:r>
    <w:r>
      <w:rPr>
        <w:rFonts w:ascii="Arial" w:cs="Arial" w:eastAsia="Arial" w:hAnsi="Arial"/>
        <w:color w:val="6B7280"/>
        <w:sz w:val="12"/>
        <w:szCs w:val="12"/>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r>
      <w:rPr>
        <w:rFonts w:ascii="Arial" w:cs="Arial" w:eastAsia="Arial" w:hAnsi="Arial"/>
        <w:color w:val="6B7280"/>
        <w:spacing w:val="15"/>
        <w:sz w:val="12"/>
        <w:szCs w:val="12"/>
      </w:rPr>
      <w:t xml:space="preserve">	STOCK PURCHASE &amp; TRANSFER AGREEMENT ·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EE3" w:sz="4" w:space="2"/>
      </w:pBdr>
      <w:tabs>
        <w:tab w:val="right" w:pos="10080"/>
      </w:tabs>
      <w:spacing w:after="60"/>
    </w:pPr>
    <w:r>
      <w:drawing>
        <wp:inline distT="0" distB="0" distL="0" distR="0">
          <wp:extent cx="295275" cy="152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295275" cy="152400"/>
                  </a:xfrm>
                  <a:prstGeom prst="rect">
                    <a:avLst/>
                  </a:prstGeom>
                </pic:spPr>
              </pic:pic>
            </a:graphicData>
          </a:graphic>
        </wp:inline>
      </w:drawing>
    </w:r>
    <w:r>
      <w:rPr>
        <w:rFonts w:ascii="Arial" w:cs="Arial" w:eastAsia="Arial" w:hAnsi="Arial"/>
        <w:sz w:val="14"/>
        <w:szCs w:val="14"/>
      </w:rPr>
      <w:t xml:space="preserve">  </w:t>
    </w:r>
    <w:r>
      <w:rPr>
        <w:rFonts w:ascii="Arial" w:cs="Arial" w:eastAsia="Arial" w:hAnsi="Arial"/>
        <w:b/>
        <w:bCs/>
        <w:color w:val="040507"/>
        <w:spacing w:val="20"/>
        <w:sz w:val="14"/>
        <w:szCs w:val="14"/>
      </w:rPr>
      <w:t xml:space="preserve">MUSIC HABITAT, INC.</w:t>
    </w:r>
    <w:r>
      <w:rPr>
        <w:rFonts w:ascii="Arial" w:cs="Arial" w:eastAsia="Arial" w:hAnsi="Arial"/>
        <w:color w:val="6B7280"/>
        <w:spacing w:val="15"/>
        <w:sz w:val="13"/>
        <w:szCs w:val="13"/>
      </w:rPr>
      <w:t xml:space="preserve">	STOCK PURCHASE &amp; TRANSFER · CONFIDENTIAL</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AECF" w:sz="8" w:space="2"/>
      </w:pBdr>
      <w:tabs>
        <w:tab w:val="right" w:pos="10080"/>
      </w:tabs>
      <w:spacing w:after="60"/>
    </w:pPr>
    <w:r>
      <w:drawing>
        <wp:inline distT="0" distB="0" distL="0" distR="0">
          <wp:extent cx="400050" cy="209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400050" cy="209550"/>
                  </a:xfrm>
                  <a:prstGeom prst="rect">
                    <a:avLst/>
                  </a:prstGeom>
                </pic:spPr>
              </pic:pic>
            </a:graphicData>
          </a:graphic>
        </wp:inline>
      </w:drawing>
    </w:r>
    <w:r>
      <w:rPr>
        <w:rFonts w:ascii="Arial" w:cs="Arial" w:eastAsia="Arial" w:hAnsi="Arial"/>
        <w:sz w:val="16"/>
        <w:szCs w:val="16"/>
      </w:rPr>
      <w:t xml:space="preserve">  </w:t>
    </w:r>
    <w:r>
      <w:rPr>
        <w:rFonts w:ascii="Arial" w:cs="Arial" w:eastAsia="Arial" w:hAnsi="Arial"/>
        <w:b/>
        <w:bCs/>
        <w:color w:val="040507"/>
        <w:spacing w:val="30"/>
        <w:sz w:val="16"/>
        <w:szCs w:val="16"/>
      </w:rPr>
      <w:t xml:space="preserve">MUSIC HABITAT, INC.</w:t>
    </w:r>
    <w:r>
      <w:rPr>
        <w:rFonts w:ascii="Arial" w:cs="Arial" w:eastAsia="Arial" w:hAnsi="Arial"/>
        <w:color w:val="6B7280"/>
        <w:spacing w:val="20"/>
        <w:sz w:val="14"/>
        <w:szCs w:val="14"/>
      </w:rPr>
      <w:t xml:space="preserve">	WWW.MUSICHABITAT.COM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40507"/>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10311de954a693beffb4fdd27b03139196caf285.png"/></Relationships>
</file>

<file path=word/_rels/header2.xml.rels><?xml version="1.0" encoding="UTF-8"?><Relationships xmlns="http://schemas.openxmlformats.org/package/2006/relationships"><Relationship Id="rId0" Type="http://schemas.openxmlformats.org/officeDocument/2006/relationships/image" Target="media/10311de954a693beffb4fdd27b03139196caf285.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2026-06-09T20:32:57.626Z</dcterms:created>
  <dcterms:modified xsi:type="dcterms:W3CDTF">2026-06-09T20:32:57.626Z</dcterms:modified>
</cp:coreProperties>
</file>

<file path=docProps/custom.xml><?xml version="1.0" encoding="utf-8"?>
<Properties xmlns="http://schemas.openxmlformats.org/officeDocument/2006/custom-properties" xmlns:vt="http://schemas.openxmlformats.org/officeDocument/2006/docPropsVTypes"/>
</file>