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7490"/>
          <w:sz w:val="44"/>
        </w:rPr>
        <w:t>AI BANKING PLATFORM</w:t>
        <w:br/>
        <w:t>Financial RAG Framework — Technical &amp; Operational Documentation</w:t>
      </w:r>
    </w:p>
    <w:p>
      <w:pPr>
        <w:jc w:val="center"/>
      </w:pPr>
      <w:r>
        <w:rPr>
          <w:color w:val="475569"/>
          <w:sz w:val="23"/>
        </w:rPr>
        <w:t>End-to-End Retrieval-Augmented Generation (RAG) Architecture, Savings &amp; Expenditure Benefits,</w:t>
        <w:br/>
        <w:t>Step-by-Step Render Cloud Execution, and Virtual Machine (VM) Migration Guide</w:t>
      </w:r>
    </w:p>
    <w:p>
      <w:pPr>
        <w:jc w:val="center"/>
      </w:pPr>
      <w:r>
        <w:drawing>
          <wp:inline xmlns:a="http://schemas.openxmlformats.org/drawingml/2006/main" xmlns:pic="http://schemas.openxmlformats.org/drawingml/2006/picture">
            <wp:extent cx="5943600" cy="3311434"/>
            <wp:docPr id="1" name="Picture 1"/>
            <wp:cNvGraphicFramePr>
              <a:graphicFrameLocks noChangeAspect="1"/>
            </wp:cNvGraphicFramePr>
            <a:graphic>
              <a:graphicData uri="http://schemas.openxmlformats.org/drawingml/2006/picture">
                <pic:pic>
                  <pic:nvPicPr>
                    <pic:cNvPr id="0" name="RAG-ARCHITECTURE.png"/>
                    <pic:cNvPicPr/>
                  </pic:nvPicPr>
                  <pic:blipFill>
                    <a:blip r:embed="rId9"/>
                    <a:stretch>
                      <a:fillRect/>
                    </a:stretch>
                  </pic:blipFill>
                  <pic:spPr>
                    <a:xfrm>
                      <a:off x="0" y="0"/>
                      <a:ext cx="5943600" cy="3311434"/>
                    </a:xfrm>
                    <a:prstGeom prst="rect"/>
                  </pic:spPr>
                </pic:pic>
              </a:graphicData>
            </a:graphic>
          </wp:inline>
        </w:drawing>
      </w:r>
    </w:p>
    <w:p>
      <w:pPr>
        <w:jc w:val="center"/>
      </w:pPr>
      <w:r>
        <w:rPr>
          <w:i/>
          <w:color w:val="64748B"/>
          <w:sz w:val="19"/>
        </w:rPr>
        <w:t>Figure: 4-Stage Financial RAG Pipeline &amp; Cloud/VM Deployment Topology</w:t>
      </w:r>
    </w:p>
    <w:p>
      <w:pPr>
        <w:pStyle w:val="Heading1"/>
      </w:pPr>
      <w:r>
        <w:t>1. Executive Summary &amp; RAG Framework Overview</w:t>
      </w:r>
    </w:p>
    <w:p>
      <w:r>
        <w:t>The AI Banking Platform is a production-grade, multi-tenant personal finance and intelligent banking system built on a Retrieval-Augmented Generation (RAG) architecture. Unlike traditional chatbots that produce generic, unverified financial advice, this framework ingests a user's real bank statement (PDF, Excel/CSV, or Screenshot), extracts and indexes every transaction into an isolated relational store, computes deterministic mathematical indicators (liquidity, monthly burn rate, category concentration, and financial health score), and dynamically injects this retrieved context into Google Gemini 2.5/2.0 Flash at query time.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0F172A"/>
          </w:tcPr>
          <w:p>
            <w:r>
              <w:rPr>
                <w:b/>
                <w:color w:val="FFFFFF"/>
                <w:sz w:val="20"/>
              </w:rPr>
              <w:t>Layer / Component</w:t>
            </w:r>
          </w:p>
        </w:tc>
        <w:tc>
          <w:tcPr>
            <w:tcW w:type="dxa" w:w="3312"/>
            <w:shd w:val="clear" w:color="auto" w:fill="0F172A"/>
          </w:tcPr>
          <w:p>
            <w:r>
              <w:rPr>
                <w:b/>
                <w:color w:val="FFFFFF"/>
                <w:sz w:val="20"/>
              </w:rPr>
              <w:t>Technology Stack</w:t>
            </w:r>
          </w:p>
        </w:tc>
        <w:tc>
          <w:tcPr>
            <w:tcW w:type="dxa" w:w="3312"/>
            <w:shd w:val="clear" w:color="auto" w:fill="0F172A"/>
          </w:tcPr>
          <w:p>
            <w:r>
              <w:rPr>
                <w:b/>
                <w:color w:val="FFFFFF"/>
                <w:sz w:val="20"/>
              </w:rPr>
              <w:t>Primary Responsibility</w:t>
            </w:r>
          </w:p>
        </w:tc>
      </w:tr>
      <w:tr>
        <w:tc>
          <w:tcPr>
            <w:tcW w:type="dxa" w:w="3312"/>
            <w:shd w:val="clear" w:color="auto" w:fill="F8FAFC"/>
          </w:tcPr>
          <w:p>
            <w:r>
              <w:rPr>
                <w:color w:val="0F172A"/>
                <w:sz w:val="19"/>
              </w:rPr>
              <w:t>Frontend Web Application</w:t>
            </w:r>
          </w:p>
        </w:tc>
        <w:tc>
          <w:tcPr>
            <w:tcW w:type="dxa" w:w="3312"/>
            <w:shd w:val="clear" w:color="auto" w:fill="F8FAFC"/>
          </w:tcPr>
          <w:p>
            <w:r>
              <w:rPr>
                <w:color w:val="0F172A"/>
                <w:sz w:val="19"/>
              </w:rPr>
              <w:t>React 19, Vite, Tailwind CSS v4, Recharts, Lucide Icons</w:t>
            </w:r>
          </w:p>
        </w:tc>
        <w:tc>
          <w:tcPr>
            <w:tcW w:type="dxa" w:w="3312"/>
            <w:shd w:val="clear" w:color="auto" w:fill="F8FAFC"/>
          </w:tcPr>
          <w:p>
            <w:r>
              <w:rPr>
                <w:color w:val="0F172A"/>
                <w:sz w:val="19"/>
              </w:rPr>
              <w:t>Dynamic personalized routing (/:userSlug-dashboard), multi-language UI (12+ languages), interactive charts &amp; AI chat</w:t>
            </w:r>
          </w:p>
        </w:tc>
      </w:tr>
      <w:tr>
        <w:tc>
          <w:tcPr>
            <w:tcW w:type="dxa" w:w="3312"/>
            <w:shd w:val="clear" w:color="auto" w:fill="FFFFFF"/>
          </w:tcPr>
          <w:p>
            <w:r>
              <w:rPr>
                <w:color w:val="0F172A"/>
                <w:sz w:val="19"/>
              </w:rPr>
              <w:t>Backend API &amp; RAG Orchestrator</w:t>
            </w:r>
          </w:p>
        </w:tc>
        <w:tc>
          <w:tcPr>
            <w:tcW w:type="dxa" w:w="3312"/>
            <w:shd w:val="clear" w:color="auto" w:fill="FFFFFF"/>
          </w:tcPr>
          <w:p>
            <w:r>
              <w:rPr>
                <w:color w:val="0F172A"/>
                <w:sz w:val="19"/>
              </w:rPr>
              <w:t>Python, FastAPI, Uvicorn, Pydantic</w:t>
            </w:r>
          </w:p>
        </w:tc>
        <w:tc>
          <w:tcPr>
            <w:tcW w:type="dxa" w:w="3312"/>
            <w:shd w:val="clear" w:color="auto" w:fill="FFFFFF"/>
          </w:tcPr>
          <w:p>
            <w:r>
              <w:rPr>
                <w:color w:val="0F172A"/>
                <w:sz w:val="19"/>
              </w:rPr>
              <w:t>Authentication, multi-format statement parsing, deterministic financial retrieval, Gemini AI prompt augmentation</w:t>
            </w:r>
          </w:p>
        </w:tc>
      </w:tr>
      <w:tr>
        <w:tc>
          <w:tcPr>
            <w:tcW w:type="dxa" w:w="3312"/>
            <w:shd w:val="clear" w:color="auto" w:fill="F8FAFC"/>
          </w:tcPr>
          <w:p>
            <w:r>
              <w:rPr>
                <w:color w:val="0F172A"/>
                <w:sz w:val="19"/>
              </w:rPr>
              <w:t>Document Ingestion Engine</w:t>
            </w:r>
          </w:p>
        </w:tc>
        <w:tc>
          <w:tcPr>
            <w:tcW w:type="dxa" w:w="3312"/>
            <w:shd w:val="clear" w:color="auto" w:fill="F8FAFC"/>
          </w:tcPr>
          <w:p>
            <w:r>
              <w:rPr>
                <w:color w:val="0F172A"/>
                <w:sz w:val="19"/>
              </w:rPr>
              <w:t>PyPDF, OpenPyXL, CSV Reader, Gemini Multimodal Vision</w:t>
            </w:r>
          </w:p>
        </w:tc>
        <w:tc>
          <w:tcPr>
            <w:tcW w:type="dxa" w:w="3312"/>
            <w:shd w:val="clear" w:color="auto" w:fill="F8FAFC"/>
          </w:tcPr>
          <w:p>
            <w:r>
              <w:rPr>
                <w:color w:val="0F172A"/>
                <w:sz w:val="19"/>
              </w:rPr>
              <w:t>Extracts transactions, running balances, currencies, and account holder names from SBI, SCB, HDFC, ICICI &amp; global statements</w:t>
            </w:r>
          </w:p>
        </w:tc>
      </w:tr>
      <w:tr>
        <w:tc>
          <w:tcPr>
            <w:tcW w:type="dxa" w:w="3312"/>
            <w:shd w:val="clear" w:color="auto" w:fill="FFFFFF"/>
          </w:tcPr>
          <w:p>
            <w:r>
              <w:rPr>
                <w:color w:val="0F172A"/>
                <w:sz w:val="19"/>
              </w:rPr>
              <w:t>Database &amp; Multi-Tenant Store</w:t>
            </w:r>
          </w:p>
        </w:tc>
        <w:tc>
          <w:tcPr>
            <w:tcW w:type="dxa" w:w="3312"/>
            <w:shd w:val="clear" w:color="auto" w:fill="FFFFFF"/>
          </w:tcPr>
          <w:p>
            <w:r>
              <w:rPr>
                <w:color w:val="0F172A"/>
                <w:sz w:val="19"/>
              </w:rPr>
              <w:t>PostgreSQL (Render Production) / SQLite (Local Fallback), SQLAlchemy</w:t>
            </w:r>
          </w:p>
        </w:tc>
        <w:tc>
          <w:tcPr>
            <w:tcW w:type="dxa" w:w="3312"/>
            <w:shd w:val="clear" w:color="auto" w:fill="FFFFFF"/>
          </w:tcPr>
          <w:p>
            <w:r>
              <w:rPr>
                <w:color w:val="0F172A"/>
                <w:sz w:val="19"/>
              </w:rPr>
              <w:t>Strict per-user data isolation by customer_id, automatic schema migrations, and demo account state management</w:t>
            </w:r>
          </w:p>
        </w:tc>
      </w:tr>
      <w:tr>
        <w:tc>
          <w:tcPr>
            <w:tcW w:type="dxa" w:w="3312"/>
            <w:shd w:val="clear" w:color="auto" w:fill="F8FAFC"/>
          </w:tcPr>
          <w:p>
            <w:r>
              <w:rPr>
                <w:color w:val="0F172A"/>
                <w:sz w:val="19"/>
              </w:rPr>
              <w:t>Generative AI &amp; Decision Engine</w:t>
            </w:r>
          </w:p>
        </w:tc>
        <w:tc>
          <w:tcPr>
            <w:tcW w:type="dxa" w:w="3312"/>
            <w:shd w:val="clear" w:color="auto" w:fill="F8FAFC"/>
          </w:tcPr>
          <w:p>
            <w:r>
              <w:rPr>
                <w:color w:val="0F172A"/>
                <w:sz w:val="19"/>
              </w:rPr>
              <w:t>Google GenAI SDK (gemini-2.5-flash / gemini-2.0-flash) + Rule Fallback</w:t>
            </w:r>
          </w:p>
        </w:tc>
        <w:tc>
          <w:tcPr>
            <w:tcW w:type="dxa" w:w="3312"/>
            <w:shd w:val="clear" w:color="auto" w:fill="F8FAFC"/>
          </w:tcPr>
          <w:p>
            <w:r>
              <w:rPr>
                <w:color w:val="0F172A"/>
                <w:sz w:val="19"/>
              </w:rPr>
              <w:t>Context-grounded financial advisory, affordability simulation, pre-approved loan/EMI offer generation, and 3-step account deletion</w:t>
            </w:r>
          </w:p>
        </w:tc>
      </w:tr>
    </w:tbl>
    <w:p/>
    <w:p>
      <w:pPr>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AI-BANKING-SYSTEM.png"/>
                    <pic:cNvPicPr/>
                  </pic:nvPicPr>
                  <pic:blipFill>
                    <a:blip r:embed="rId10"/>
                    <a:stretch>
                      <a:fillRect/>
                    </a:stretch>
                  </pic:blipFill>
                  <pic:spPr>
                    <a:xfrm>
                      <a:off x="0" y="0"/>
                      <a:ext cx="5669280" cy="3188970"/>
                    </a:xfrm>
                    <a:prstGeom prst="rect"/>
                  </pic:spPr>
                </pic:pic>
              </a:graphicData>
            </a:graphic>
          </wp:inline>
        </w:drawing>
      </w:r>
    </w:p>
    <w:p>
      <w:pPr>
        <w:jc w:val="center"/>
      </w:pPr>
      <w:r>
        <w:rPr>
          <w:i/>
          <w:color w:val="64748B"/>
          <w:sz w:val="19"/>
        </w:rPr>
        <w:t>Figure: AI Banking Platform Landing Page with Live Demo &amp; Account Creation</w:t>
      </w:r>
    </w:p>
    <w:p>
      <w:pPr>
        <w:pStyle w:val="Heading1"/>
      </w:pPr>
      <w:r>
        <w:t>2. Step-by-Step Financial RAG Pipeline Architecture</w:t>
      </w:r>
    </w:p>
    <w:p>
      <w:r>
        <w:t>Retrieval-Augmented Generation (RAG) bridges the gap between raw, unstructured user documents (bank statements) and Large Language Models. Below is the exact 4-stage pipeline implemented in the codebase:</w:t>
      </w:r>
    </w:p>
    <w:p>
      <w:pPr>
        <w:pStyle w:val="Heading2"/>
      </w:pPr>
      <w:r>
        <w:t>Stage 1: Multi-Format Document Ingestion &amp; Parsing (backend/app/services/statement_parser.py)</w:t>
      </w:r>
    </w:p>
    <w:p>
      <w:r>
        <w:t>When a user uploads a bank statement on /{userSlug}-dashboard/upload-statement, the file is sent via multipart/form-data to POST /statements/upload. The ingestion engine automatically selects the optimal parser based on file format and document structure:</w:t>
      </w:r>
    </w:p>
    <w:p>
      <w:pPr>
        <w:pStyle w:val="ListBullet"/>
      </w:pPr>
      <w:r>
        <w:t>1. Dedicated SBI Multi-Line Parser (parse_sbi_multiline): Splits statements by dual-date blocks (Value Date &amp; Post Date) and extracts Debit, Credit, and Running Balance columns.</w:t>
      </w:r>
    </w:p>
    <w:p>
      <w:pPr>
        <w:pStyle w:val="ListBullet"/>
      </w:pPr>
      <w:r>
        <w:t>2. Universal Running-Balance Multi-Line Parser (parse_running_balance_multiline): Designed for Standard Chartered Bank, HDFC, ICICI, Axis, and international statements where transactions span multiple lines and end with &lt;Transaction_Amount&gt; &lt;Running_Balance&gt;. It tracks BALANCE FORWARD rows to establish opening liquidity, compares consecutive running balances (new_balance &gt; prev_balance) to classify Credits vs. Debits with 100% mathematical precision, captures the TOTAL summary row, and stops before reward point tables.</w:t>
      </w:r>
    </w:p>
    <w:p>
      <w:pPr>
        <w:pStyle w:val="ListBullet"/>
      </w:pPr>
      <w:r>
        <w:t>3. Generic Single-Line Tabular Parser (parse_generic_table): Extracts date and amount pairs from single-line tabular PDFs.</w:t>
      </w:r>
    </w:p>
    <w:p>
      <w:pPr>
        <w:pStyle w:val="ListBullet"/>
      </w:pPr>
      <w:r>
        <w:t>4. Spreadsheet Parser (parse_csv_or_excel): Uses OpenPyXL and CSV readers to detect Date, Narration/Description, Debit, Credit, and Balance columns dynamically.</w:t>
      </w:r>
    </w:p>
    <w:p>
      <w:pPr>
        <w:pStyle w:val="ListBullet"/>
      </w:pPr>
      <w:r>
        <w:t>5. Multimodal Vision AI Parser (parse_image_statement): Sends PNG/JPG/WebP screenshots directly to Gemini 2.5 Flash Multimodal Vision to extract structured JSON transactions.</w:t>
      </w:r>
    </w:p>
    <w:p>
      <w:pPr>
        <w:pStyle w:val="ListBullet"/>
      </w:pPr>
      <w:r>
        <w:t>6. Account Holder Name &amp; Currency Detection (extract_account_holder_name &amp; detect_currency_from_text): Automatically extracts the statement holder's name (e.g., 'MR SEENIVASAN' or 'Mr. Aaditya Acharya') and detects the currency symbol and code (INR ₹, USD $, EUR €, GBP £, AED, CAD C$, AUD A$, JPY ¥).</w:t>
      </w:r>
    </w:p>
    <w:p>
      <w:pPr>
        <w:pStyle w:val="Heading2"/>
      </w:pPr>
      <w:r>
        <w:t>Stage 2: Normalization, Categorization &amp; Multi-Tenant Indexing (backend/app/main.py &amp; models.py)</w:t>
      </w:r>
    </w:p>
    <w:p>
      <w:r>
        <w:t>Once raw transactions are extracted, the indexing pipeline cleans noisy bank narratives (UPI IDs, NEFT reference numbers, ATM switch codes) via clean_merchant_name() and classifies each transaction into one of 11 standardized financial categories via categorize_merchant(): Salary, Bills, Food, Groceries, Rent, Shopping, Fuel, Entertainment, Electronics, Health, and Investment. All records are persisted in PostgreSQL scoped strictly to the authenticated user's customer_id.</w:t>
      </w:r>
    </w:p>
    <w:p>
      <w:pPr>
        <w:pStyle w:val="Heading2"/>
      </w:pPr>
      <w:r>
        <w:t>Stage 3: Deterministic Retrieval &amp; Financial Context Assembly</w:t>
      </w:r>
    </w:p>
    <w:p>
      <w:r>
        <w:t>Before the AI model is ever invoked—and whenever the dashboard loads—three deterministic analytical engines retrieve and aggregate the user's indexed data:</w:t>
      </w:r>
    </w:p>
    <w:p>
      <w:pPr>
        <w:pStyle w:val="ListBullet"/>
      </w:pPr>
      <w:r>
        <w:t>• Spending Analyzer (backend/app/ai/spending_analyzer.py): Computes total_spent, category_breakdown, highest_spending_category, highest_category_amount, favorite_merchant, and merchant_spending strictly from Debit transactions.</w:t>
      </w:r>
    </w:p>
    <w:p>
      <w:pPr>
        <w:pStyle w:val="ListBullet"/>
      </w:pPr>
      <w:r>
        <w:t>• Financial Health Scorer (backend/app/ai/financial_health.py): Evaluates 4 weighted pillars—Savings Ratio (40 pts), Monthly Spending-to-Income Ratio (25 pts), Liquidity Coverage (20 pts), and Cash Flow Stability (15 pts). Enforces a strict guardrail: if Total Balance &lt;= 0 and Savings &lt;= 0, the Financial Health Status is immediately marked as 'Poor' (Score 0–20/100).</w:t>
      </w:r>
    </w:p>
    <w:p>
      <w:pPr>
        <w:pStyle w:val="ListBullet"/>
      </w:pPr>
      <w:r>
        <w:t>• Pre-Approved Offer &amp; Affordability Engine (backend/app/ai/offer_engine.py): Extracts any purchase amount mentioned in the user's question (e.g., 'Can I afford a smartphone worth ₹80,000?') and compares it against the user's live account balance to build either a Cash/Card Discount Offer (when balance &gt;= price) or a Pre-Approved Personal Loan Offer with 12-month EMI breakdown (when balance &lt; price).</w:t>
      </w:r>
    </w:p>
    <w:p>
      <w:pPr>
        <w:pStyle w:val="Heading2"/>
      </w:pPr>
      <w:r>
        <w:t>Stage 4: Grounded Prompt Augmentation &amp; Conversational Generation (backend/app/ai/gemini_service.py)</w:t>
      </w:r>
    </w:p>
    <w:p>
      <w:r>
        <w:t>In the final RAG step, generate_gemini_chat_response() constructs an augmented system prompt containing the customer's exact name, currency symbol, live account balance, monthly salary, total spent, financial health score, top spending category, favorite merchant, full category breakdown, and pre-calculated loan/discount offer. This grounded prompt is sent to Google Gemini (gemini-2.5-flash / gemini-2.0-flash), ensuring the response is 100% factual, mathematically accurate, and written in the user's selected language.</w:t>
      </w:r>
    </w:p>
    <w:p>
      <w:pPr>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5669280" cy="3188970"/>
                    </a:xfrm>
                    <a:prstGeom prst="rect"/>
                  </pic:spPr>
                </pic:pic>
              </a:graphicData>
            </a:graphic>
          </wp:inline>
        </w:drawing>
      </w:r>
    </w:p>
    <w:p>
      <w:pPr>
        <w:jc w:val="center"/>
      </w:pPr>
      <w:r>
        <w:rPr>
          <w:i/>
          <w:color w:val="64748B"/>
          <w:sz w:val="19"/>
        </w:rPr>
        <w:t>Figure: Personalized Analytics Dashboard Populated from Uploaded Bank Statement</w:t>
      </w:r>
    </w:p>
    <w:p>
      <w:pPr>
        <w:pStyle w:val="Heading1"/>
      </w:pPr>
      <w:r>
        <w:t>3. Key Benefits: How This RAG Framework Helps in Savings &amp; Expenditure Management</w:t>
      </w:r>
    </w:p>
    <w:p>
      <w:r>
        <w:t>By combining deterministic financial accounting with Generative AI reasoning, this RAG framework delivers measurable benefits for personal wealth management, expenditure control, and savings growth:</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0F172A"/>
          </w:tcPr>
          <w:p>
            <w:r>
              <w:rPr>
                <w:b/>
                <w:color w:val="FFFFFF"/>
                <w:sz w:val="20"/>
              </w:rPr>
              <w:t>Benefit Area</w:t>
            </w:r>
          </w:p>
        </w:tc>
        <w:tc>
          <w:tcPr>
            <w:tcW w:type="dxa" w:w="3312"/>
            <w:shd w:val="clear" w:color="auto" w:fill="0F172A"/>
          </w:tcPr>
          <w:p>
            <w:r>
              <w:rPr>
                <w:b/>
                <w:color w:val="FFFFFF"/>
                <w:sz w:val="20"/>
              </w:rPr>
              <w:t>How the RAG Framework Works</w:t>
            </w:r>
          </w:p>
        </w:tc>
        <w:tc>
          <w:tcPr>
            <w:tcW w:type="dxa" w:w="3312"/>
            <w:shd w:val="clear" w:color="auto" w:fill="0F172A"/>
          </w:tcPr>
          <w:p>
            <w:r>
              <w:rPr>
                <w:b/>
                <w:color w:val="FFFFFF"/>
                <w:sz w:val="20"/>
              </w:rPr>
              <w:t>Direct Impact on Savings &amp; Expenditure</w:t>
            </w:r>
          </w:p>
        </w:tc>
      </w:tr>
      <w:tr>
        <w:tc>
          <w:tcPr>
            <w:tcW w:type="dxa" w:w="3312"/>
            <w:shd w:val="clear" w:color="auto" w:fill="F8FAFC"/>
          </w:tcPr>
          <w:p>
            <w:r>
              <w:rPr>
                <w:color w:val="0F172A"/>
                <w:sz w:val="19"/>
              </w:rPr>
              <w:t>1. Granular Expenditure Leak Detection</w:t>
            </w:r>
          </w:p>
        </w:tc>
        <w:tc>
          <w:tcPr>
            <w:tcW w:type="dxa" w:w="3312"/>
            <w:shd w:val="clear" w:color="auto" w:fill="F8FAFC"/>
          </w:tcPr>
          <w:p>
            <w:r>
              <w:rPr>
                <w:color w:val="0F172A"/>
                <w:sz w:val="19"/>
              </w:rPr>
              <w:t>Automatically parses hundreds of multi-line UPI, card, ATM, and NEFT rows into 11 clean categories and ranks top merchants.</w:t>
            </w:r>
          </w:p>
        </w:tc>
        <w:tc>
          <w:tcPr>
            <w:tcW w:type="dxa" w:w="3312"/>
            <w:shd w:val="clear" w:color="auto" w:fill="F8FAFC"/>
          </w:tcPr>
          <w:p>
            <w:r>
              <w:rPr>
                <w:color w:val="0F172A"/>
                <w:sz w:val="19"/>
              </w:rPr>
              <w:t>Exposes hidden spending leaks (e.g., frequent food delivery, high utility/ATM fees, or impulse shopping) so users can cut 15–25% of discretionary burn.</w:t>
            </w:r>
          </w:p>
        </w:tc>
      </w:tr>
      <w:tr>
        <w:tc>
          <w:tcPr>
            <w:tcW w:type="dxa" w:w="3312"/>
            <w:shd w:val="clear" w:color="auto" w:fill="FFFFFF"/>
          </w:tcPr>
          <w:p>
            <w:r>
              <w:rPr>
                <w:color w:val="0F172A"/>
                <w:sz w:val="19"/>
              </w:rPr>
              <w:t>2. Real-Time Liquidity &amp; Zero-Balance Guardrails</w:t>
            </w:r>
          </w:p>
        </w:tc>
        <w:tc>
          <w:tcPr>
            <w:tcW w:type="dxa" w:w="3312"/>
            <w:shd w:val="clear" w:color="auto" w:fill="FFFFFF"/>
          </w:tcPr>
          <w:p>
            <w:r>
              <w:rPr>
                <w:color w:val="0F172A"/>
                <w:sz w:val="19"/>
              </w:rPr>
              <w:t>Continuously monitors closing balance and savings buffer; triggers a Red 'Poor' health alert if balance and savings drop to zero.</w:t>
            </w:r>
          </w:p>
        </w:tc>
        <w:tc>
          <w:tcPr>
            <w:tcW w:type="dxa" w:w="3312"/>
            <w:shd w:val="clear" w:color="auto" w:fill="FFFFFF"/>
          </w:tcPr>
          <w:p>
            <w:r>
              <w:rPr>
                <w:color w:val="0F172A"/>
                <w:sz w:val="19"/>
              </w:rPr>
              <w:t>Prevents overdrafts and debt traps by warning the user immediately when monthly expenses exceed monthly deposits.</w:t>
            </w:r>
          </w:p>
        </w:tc>
      </w:tr>
      <w:tr>
        <w:tc>
          <w:tcPr>
            <w:tcW w:type="dxa" w:w="3312"/>
            <w:shd w:val="clear" w:color="auto" w:fill="F8FAFC"/>
          </w:tcPr>
          <w:p>
            <w:r>
              <w:rPr>
                <w:color w:val="0F172A"/>
                <w:sz w:val="19"/>
              </w:rPr>
              <w:t>3. Pre-Purchase Affordability Simulation</w:t>
            </w:r>
          </w:p>
        </w:tc>
        <w:tc>
          <w:tcPr>
            <w:tcW w:type="dxa" w:w="3312"/>
            <w:shd w:val="clear" w:color="auto" w:fill="F8FAFC"/>
          </w:tcPr>
          <w:p>
            <w:r>
              <w:rPr>
                <w:color w:val="0F172A"/>
                <w:sz w:val="19"/>
              </w:rPr>
              <w:t>Users can ask 'Can I buy a laptop worth ₹80,000 this month?' and the RAG engine checks live balance vs. monthly commitments.</w:t>
            </w:r>
          </w:p>
        </w:tc>
        <w:tc>
          <w:tcPr>
            <w:tcW w:type="dxa" w:w="3312"/>
            <w:shd w:val="clear" w:color="auto" w:fill="F8FAFC"/>
          </w:tcPr>
          <w:p>
            <w:r>
              <w:rPr>
                <w:color w:val="0F172A"/>
                <w:sz w:val="19"/>
              </w:rPr>
              <w:t>Stops impulsive high-ticket purchases that would wipe out emergency funds, or structures affordable EMIs when financing is necessary.</w:t>
            </w:r>
          </w:p>
        </w:tc>
      </w:tr>
      <w:tr>
        <w:tc>
          <w:tcPr>
            <w:tcW w:type="dxa" w:w="3312"/>
            <w:shd w:val="clear" w:color="auto" w:fill="FFFFFF"/>
          </w:tcPr>
          <w:p>
            <w:r>
              <w:rPr>
                <w:color w:val="0F172A"/>
                <w:sz w:val="19"/>
              </w:rPr>
              <w:t>4. Automated 50/30/20 Budget &amp; Savings Coaching</w:t>
            </w:r>
          </w:p>
        </w:tc>
        <w:tc>
          <w:tcPr>
            <w:tcW w:type="dxa" w:w="3312"/>
            <w:shd w:val="clear" w:color="auto" w:fill="FFFFFF"/>
          </w:tcPr>
          <w:p>
            <w:r>
              <w:rPr>
                <w:color w:val="0F172A"/>
                <w:sz w:val="19"/>
              </w:rPr>
              <w:t>Calculates exact Savings Ratio and Spending Ratio from statement inflows and outflows, generating actionable step-by-step advice.</w:t>
            </w:r>
          </w:p>
        </w:tc>
        <w:tc>
          <w:tcPr>
            <w:tcW w:type="dxa" w:w="3312"/>
            <w:shd w:val="clear" w:color="auto" w:fill="FFFFFF"/>
          </w:tcPr>
          <w:p>
            <w:r>
              <w:rPr>
                <w:color w:val="0F172A"/>
                <w:sz w:val="19"/>
              </w:rPr>
              <w:t>Helps users systematically build a 20–35% emergency savings buffer before allocating surplus funds to SIPs or investments.</w:t>
            </w:r>
          </w:p>
        </w:tc>
      </w:tr>
      <w:tr>
        <w:tc>
          <w:tcPr>
            <w:tcW w:type="dxa" w:w="3312"/>
            <w:shd w:val="clear" w:color="auto" w:fill="F8FAFC"/>
          </w:tcPr>
          <w:p>
            <w:r>
              <w:rPr>
                <w:color w:val="0F172A"/>
                <w:sz w:val="19"/>
              </w:rPr>
              <w:t>5. Zero-Hallucination Financial Accuracy</w:t>
            </w:r>
          </w:p>
        </w:tc>
        <w:tc>
          <w:tcPr>
            <w:tcW w:type="dxa" w:w="3312"/>
            <w:shd w:val="clear" w:color="auto" w:fill="F8FAFC"/>
          </w:tcPr>
          <w:p>
            <w:r>
              <w:rPr>
                <w:color w:val="0F172A"/>
                <w:sz w:val="19"/>
              </w:rPr>
              <w:t>All totals, ratios, and EMI numbers are computed deterministically in Python before Gemini generates natural-language advice.</w:t>
            </w:r>
          </w:p>
        </w:tc>
        <w:tc>
          <w:tcPr>
            <w:tcW w:type="dxa" w:w="3312"/>
            <w:shd w:val="clear" w:color="auto" w:fill="F8FAFC"/>
          </w:tcPr>
          <w:p>
            <w:r>
              <w:rPr>
                <w:color w:val="0F172A"/>
                <w:sz w:val="19"/>
              </w:rPr>
              <w:t>Eliminates LLM math errors—every rupee/dollar cited by the AI Advisor matches the uploaded bank statement to the exact decimal.</w:t>
            </w:r>
          </w:p>
        </w:tc>
      </w:tr>
      <w:tr>
        <w:tc>
          <w:tcPr>
            <w:tcW w:type="dxa" w:w="3312"/>
            <w:shd w:val="clear" w:color="auto" w:fill="FFFFFF"/>
          </w:tcPr>
          <w:p>
            <w:r>
              <w:rPr>
                <w:color w:val="0F172A"/>
                <w:sz w:val="19"/>
              </w:rPr>
              <w:t>6. Multi-Currency &amp; 12-Language Financial Inclusion</w:t>
            </w:r>
          </w:p>
        </w:tc>
        <w:tc>
          <w:tcPr>
            <w:tcW w:type="dxa" w:w="3312"/>
            <w:shd w:val="clear" w:color="auto" w:fill="FFFFFF"/>
          </w:tcPr>
          <w:p>
            <w:r>
              <w:rPr>
                <w:color w:val="0F172A"/>
                <w:sz w:val="19"/>
              </w:rPr>
              <w:t>Supports INR (₹), USD ($), EUR (€), GBP (£), AED, JPY (¥) and 12 Indian regional languages (Hindi, Tamil, Telugu, Bengali, etc.).</w:t>
            </w:r>
          </w:p>
        </w:tc>
        <w:tc>
          <w:tcPr>
            <w:tcW w:type="dxa" w:w="3312"/>
            <w:shd w:val="clear" w:color="auto" w:fill="FFFFFF"/>
          </w:tcPr>
          <w:p>
            <w:r>
              <w:rPr>
                <w:color w:val="0F172A"/>
                <w:sz w:val="19"/>
              </w:rPr>
              <w:t>Empowers non-English speakers and global users to understand complex bank statements and optimize household budgets in their native tongue.</w:t>
            </w:r>
          </w:p>
        </w:tc>
      </w:tr>
    </w:tbl>
    <w:p/>
    <w:p>
      <w:pPr>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AI-SPENDING-ANALYSIS.png"/>
                    <pic:cNvPicPr/>
                  </pic:nvPicPr>
                  <pic:blipFill>
                    <a:blip r:embed="rId12"/>
                    <a:stretch>
                      <a:fillRect/>
                    </a:stretch>
                  </pic:blipFill>
                  <pic:spPr>
                    <a:xfrm>
                      <a:off x="0" y="0"/>
                      <a:ext cx="5669280" cy="3188970"/>
                    </a:xfrm>
                    <a:prstGeom prst="rect"/>
                  </pic:spPr>
                </pic:pic>
              </a:graphicData>
            </a:graphic>
          </wp:inline>
        </w:drawing>
      </w:r>
    </w:p>
    <w:p>
      <w:pPr>
        <w:jc w:val="center"/>
      </w:pPr>
      <w:r>
        <w:rPr>
          <w:i/>
          <w:color w:val="64748B"/>
          <w:sz w:val="19"/>
        </w:rPr>
        <w:t>Figure: AI Spending Insights &amp; Category Breakdown Driving Expenditure Control</w:t>
      </w:r>
    </w:p>
    <w:p>
      <w:pPr>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AI-ADVISOR.png"/>
                    <pic:cNvPicPr/>
                  </pic:nvPicPr>
                  <pic:blipFill>
                    <a:blip r:embed="rId13"/>
                    <a:stretch>
                      <a:fillRect/>
                    </a:stretch>
                  </pic:blipFill>
                  <pic:spPr>
                    <a:xfrm>
                      <a:off x="0" y="0"/>
                      <a:ext cx="5669280" cy="3188970"/>
                    </a:xfrm>
                    <a:prstGeom prst="rect"/>
                  </pic:spPr>
                </pic:pic>
              </a:graphicData>
            </a:graphic>
          </wp:inline>
        </w:drawing>
      </w:r>
    </w:p>
    <w:p>
      <w:pPr>
        <w:jc w:val="center"/>
      </w:pPr>
      <w:r>
        <w:rPr>
          <w:i/>
          <w:color w:val="64748B"/>
          <w:sz w:val="19"/>
        </w:rPr>
        <w:t>Figure: RAG-Powered AI Financial Advisor Answering Affordability &amp; Savings Questions</w:t>
      </w:r>
    </w:p>
    <w:p>
      <w:pPr>
        <w:pStyle w:val="Heading1"/>
      </w:pPr>
      <w:r>
        <w:t>4. Step-by-Step Process: How the System Runs on Render</w:t>
      </w:r>
    </w:p>
    <w:p>
      <w:r>
        <w:t>The application is deployed on Render across two cloud web services connected to a persistent database. Below is the complete step-by-step operational flow on Render:</w:t>
      </w:r>
    </w:p>
    <w:p>
      <w:pPr>
        <w:pStyle w:val="Heading2"/>
      </w:pPr>
      <w:r>
        <w:t>4.1 Render Service Architecture &amp; Live URLs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0F172A"/>
          </w:tcPr>
          <w:p>
            <w:r>
              <w:rPr>
                <w:b/>
                <w:color w:val="FFFFFF"/>
                <w:sz w:val="20"/>
              </w:rPr>
              <w:t>Service Role</w:t>
            </w:r>
          </w:p>
        </w:tc>
        <w:tc>
          <w:tcPr>
            <w:tcW w:type="dxa" w:w="3312"/>
            <w:shd w:val="clear" w:color="auto" w:fill="0F172A"/>
          </w:tcPr>
          <w:p>
            <w:r>
              <w:rPr>
                <w:b/>
                <w:color w:val="FFFFFF"/>
                <w:sz w:val="20"/>
              </w:rPr>
              <w:t>Render Service URL</w:t>
            </w:r>
          </w:p>
        </w:tc>
        <w:tc>
          <w:tcPr>
            <w:tcW w:type="dxa" w:w="3312"/>
            <w:shd w:val="clear" w:color="auto" w:fill="0F172A"/>
          </w:tcPr>
          <w:p>
            <w:r>
              <w:rPr>
                <w:b/>
                <w:color w:val="FFFFFF"/>
                <w:sz w:val="20"/>
              </w:rPr>
              <w:t>Runtime &amp; Configuration</w:t>
            </w:r>
          </w:p>
        </w:tc>
      </w:tr>
      <w:tr>
        <w:tc>
          <w:tcPr>
            <w:tcW w:type="dxa" w:w="3312"/>
            <w:shd w:val="clear" w:color="auto" w:fill="F8FAFC"/>
          </w:tcPr>
          <w:p>
            <w:r>
              <w:rPr>
                <w:color w:val="0F172A"/>
                <w:sz w:val="19"/>
              </w:rPr>
              <w:t>Frontend Web Service</w:t>
            </w:r>
          </w:p>
        </w:tc>
        <w:tc>
          <w:tcPr>
            <w:tcW w:type="dxa" w:w="3312"/>
            <w:shd w:val="clear" w:color="auto" w:fill="F8FAFC"/>
          </w:tcPr>
          <w:p>
            <w:r>
              <w:rPr>
                <w:color w:val="0F172A"/>
                <w:sz w:val="19"/>
              </w:rPr>
              <w:t>https://ai-banking-system-1-pdow.onrender.com</w:t>
            </w:r>
          </w:p>
        </w:tc>
        <w:tc>
          <w:tcPr>
            <w:tcW w:type="dxa" w:w="3312"/>
            <w:shd w:val="clear" w:color="auto" w:fill="F8FAFC"/>
          </w:tcPr>
          <w:p>
            <w:r>
              <w:rPr>
                <w:color w:val="0F172A"/>
                <w:sz w:val="19"/>
              </w:rPr>
              <w:t>Node.js / Vite React SPA serving dynamic routes (/:userSlug-dashboard)</w:t>
            </w:r>
          </w:p>
        </w:tc>
      </w:tr>
      <w:tr>
        <w:tc>
          <w:tcPr>
            <w:tcW w:type="dxa" w:w="3312"/>
            <w:shd w:val="clear" w:color="auto" w:fill="FFFFFF"/>
          </w:tcPr>
          <w:p>
            <w:r>
              <w:rPr>
                <w:color w:val="0F172A"/>
                <w:sz w:val="19"/>
              </w:rPr>
              <w:t>Backend API Service</w:t>
            </w:r>
          </w:p>
        </w:tc>
        <w:tc>
          <w:tcPr>
            <w:tcW w:type="dxa" w:w="3312"/>
            <w:shd w:val="clear" w:color="auto" w:fill="FFFFFF"/>
          </w:tcPr>
          <w:p>
            <w:r>
              <w:rPr>
                <w:color w:val="0F172A"/>
                <w:sz w:val="19"/>
              </w:rPr>
              <w:t>https://ai-banking-system-3gzg.onrender.com</w:t>
            </w:r>
          </w:p>
        </w:tc>
        <w:tc>
          <w:tcPr>
            <w:tcW w:type="dxa" w:w="3312"/>
            <w:shd w:val="clear" w:color="auto" w:fill="FFFFFF"/>
          </w:tcPr>
          <w:p>
            <w:r>
              <w:rPr>
                <w:color w:val="0F172A"/>
                <w:sz w:val="19"/>
              </w:rPr>
              <w:t>Python 3 + FastAPI + Uvicorn ASGI server with global CORS enabled</w:t>
            </w:r>
          </w:p>
        </w:tc>
      </w:tr>
      <w:tr>
        <w:tc>
          <w:tcPr>
            <w:tcW w:type="dxa" w:w="3312"/>
            <w:shd w:val="clear" w:color="auto" w:fill="F8FAFC"/>
          </w:tcPr>
          <w:p>
            <w:r>
              <w:rPr>
                <w:color w:val="0F172A"/>
                <w:sz w:val="19"/>
              </w:rPr>
              <w:t>Swagger API Docs</w:t>
            </w:r>
          </w:p>
        </w:tc>
        <w:tc>
          <w:tcPr>
            <w:tcW w:type="dxa" w:w="3312"/>
            <w:shd w:val="clear" w:color="auto" w:fill="F8FAFC"/>
          </w:tcPr>
          <w:p>
            <w:r>
              <w:rPr>
                <w:color w:val="0F172A"/>
                <w:sz w:val="19"/>
              </w:rPr>
              <w:t>https://ai-banking-system-3gzg.onrender.com/docs</w:t>
            </w:r>
          </w:p>
        </w:tc>
        <w:tc>
          <w:tcPr>
            <w:tcW w:type="dxa" w:w="3312"/>
            <w:shd w:val="clear" w:color="auto" w:fill="F8FAFC"/>
          </w:tcPr>
          <w:p>
            <w:r>
              <w:rPr>
                <w:color w:val="0F172A"/>
                <w:sz w:val="19"/>
              </w:rPr>
              <w:t>Interactive OpenAPI 3.0 documentation for testing all REST endpoints</w:t>
            </w:r>
          </w:p>
        </w:tc>
      </w:tr>
    </w:tbl>
    <w:p/>
    <w:p>
      <w:pPr>
        <w:pStyle w:val="Heading2"/>
      </w:pPr>
      <w:r>
        <w:t>4.2 Step-by-Step Runtime Execution Flow on Render</w:t>
      </w:r>
    </w:p>
    <w:p>
      <w:r>
        <w:rPr>
          <w:b/>
          <w:color w:val="0E7490"/>
        </w:rPr>
        <w:t>Step 1: Backend Startup, Schema Migration &amp; Demo Seeding</w:t>
        <w:br/>
      </w:r>
      <w:r>
        <w:t>When the Render Backend service starts, FastAPI triggers the @app.on_event('startup') hook in backend/app/main.py. It executes Base.metadata.create_all(bind=engine), runs ensure_schema_columns(db) to safely add any new columns (country, preferred_language, currency_code, currency_symbol) to existing PostgreSQL tables without data loss, and runs seed_database_if_empty(db) to initialize the protected Demo Account (Robert Wilson, customer_id = 1, $20,000.00 balance).</w:t>
      </w:r>
    </w:p>
    <w:p>
      <w:r>
        <w:rPr>
          <w:b/>
          <w:color w:val="0E7490"/>
        </w:rPr>
        <w:t>Step 2: User Onboarding, Registration &amp; Personalized Slug Routing</w:t>
        <w:br/>
      </w:r>
      <w:r>
        <w:t>When a new user signs up at /register, the frontend sends POST /auth/register to Render. The backend hashes the password with salted SHA-256, creates isolated User, Customer, Account (₹0 / $0 initial balance), and Card records, synchronizes PostgreSQL primary key sequences (reset_postgres_sequences), and redirects the user to their personalized URL: /{firstName}-dashboard/upload-statement (e.g., /aaditya-dashboard/upload-statement).</w:t>
      </w:r>
    </w:p>
    <w:p>
      <w:r>
        <w:rPr>
          <w:b/>
          <w:color w:val="0E7490"/>
        </w:rPr>
        <w:t>Step 3: Statement Upload &amp; Real-Time RAG Indexing on Render</w:t>
        <w:br/>
      </w:r>
      <w:r>
        <w:t>When the user uploads a PDF, Excel/CSV, or Screenshot, POST /statements/upload reads the file bytes in memory, runs the multi-format parser, extracts the Account Holder Name (e.g., 'MR SEENIVASAN' or 'Mr. Aaditya Acharya'), currency, balances, and all transactions, replaces any old transactions for that customer_id, and commits the new records to the Render database.</w:t>
      </w:r>
    </w:p>
    <w:p>
      <w:r>
        <w:rPr>
          <w:b/>
          <w:color w:val="0E7490"/>
        </w:rPr>
        <w:t>Step 4: Parallel Dashboard Hydration &amp; Slug Resolution</w:t>
        <w:br/>
      </w:r>
      <w:r>
        <w:t>Upon redirect to /{firstName}-dashboard, Dashboard.jsx calls GET /auth/resolve-slug/{firstName} to resolve the active customer_id with the latest uploaded transactions, and fires 4 parallel requests to Render: GET /dashboard, GET /spending-chart, GET /transactions, GET /ai/financial-health/{id}, and GET /ai/analyze/{id}. All cards, charts, and insights render strictly from the user's uploaded statement.</w:t>
      </w:r>
    </w:p>
    <w:p>
      <w:r>
        <w:rPr>
          <w:b/>
          <w:color w:val="0E7490"/>
        </w:rPr>
        <w:t>Step 5: Refresh Behavior (Demo Auto-Restore vs. Ephemeral User Privacy)</w:t>
        <w:br/>
      </w:r>
      <w:r>
        <w:t>• For the Demo Account (/robert-dashboard, customer_id = 1): Even if a visitor clicks 'Clear Data' (which temporarily displays $0.00), pressing F5 or Hard Refresh triggers POST /demo/reset/1 and ensure_robert_demo_data(), automatically restoring Robert Wilson's balance back to $20,000.00.</w:t>
        <w:br/>
        <w:t>• For Custom Registered Users: Clicking 'Clear Data' executes POST /statements/clear, wiping uploaded transactions and resetting balances to 0.</w:t>
      </w:r>
    </w:p>
    <w:p>
      <w:r>
        <w:rPr>
          <w:b/>
          <w:color w:val="0E7490"/>
        </w:rPr>
        <w:t>Step 6: Secure Account Deletion (Navbar Modal &amp; 3-Step AI Advisor Flow)</w:t>
        <w:br/>
      </w:r>
      <w:r>
        <w:t>Users can delete their account either via the 'Delete Account' navbar button (POST /auth/delete-account) or by asking the AI Advisor ('Delete my account'). In the AI Advisor, Step 1 tries to convince the user to stay; Step 2 asks for their profile login password if they still insist; Step 3 verifies the password, deletes all database records for that user, and redirects to /register. The Demo Account (Robert Wilson) is protected and requires the Admin Password ('robert@123').</w:t>
      </w:r>
    </w:p>
    <w:p>
      <w:pPr>
        <w:jc w:val="center"/>
      </w:pP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SWAGGER.png"/>
                    <pic:cNvPicPr/>
                  </pic:nvPicPr>
                  <pic:blipFill>
                    <a:blip r:embed="rId14"/>
                    <a:stretch>
                      <a:fillRect/>
                    </a:stretch>
                  </pic:blipFill>
                  <pic:spPr>
                    <a:xfrm>
                      <a:off x="0" y="0"/>
                      <a:ext cx="5669280" cy="3188970"/>
                    </a:xfrm>
                    <a:prstGeom prst="rect"/>
                  </pic:spPr>
                </pic:pic>
              </a:graphicData>
            </a:graphic>
          </wp:inline>
        </w:drawing>
      </w:r>
    </w:p>
    <w:p>
      <w:pPr>
        <w:jc w:val="center"/>
      </w:pPr>
      <w:r>
        <w:rPr>
          <w:i/>
          <w:color w:val="64748B"/>
          <w:sz w:val="19"/>
        </w:rPr>
        <w:t>Figure: Live FastAPI Swagger Documentation Running on Render</w:t>
      </w:r>
    </w:p>
    <w:p>
      <w:pPr>
        <w:pStyle w:val="Heading1"/>
      </w:pPr>
      <w:r>
        <w:t>5. Step-by-Step Guide: Switching from Render to Any Other VM (AWS EC2, Azure, GCP, DigitalOcean, or Ubuntu Server)</w:t>
      </w:r>
    </w:p>
    <w:p>
      <w:r>
        <w:t>The entire platform is architected to be 100% cloud-agnostic. You can migrate from Render to any Virtual Machine (AWS EC2, Microsoft Azure VM, Google Compute Engine, DigitalOcean Droplet, Hetzner, or an on-premise Linux server) in under 10 minutes with only two small configuration changes.</w:t>
      </w:r>
    </w:p>
    <w:p>
      <w:pPr>
        <w:pStyle w:val="Heading2"/>
      </w:pPr>
      <w:r>
        <w:t>5.1 The Only 2 Small Changes Required to Switch VMs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color="auto" w:fill="0F172A"/>
          </w:tcPr>
          <w:p>
            <w:r>
              <w:rPr>
                <w:b/>
                <w:color w:val="FFFFFF"/>
                <w:sz w:val="20"/>
              </w:rPr>
              <w:t>File / Environment Variable</w:t>
            </w:r>
          </w:p>
        </w:tc>
        <w:tc>
          <w:tcPr>
            <w:tcW w:type="dxa" w:w="2484"/>
            <w:shd w:val="clear" w:color="auto" w:fill="0F172A"/>
          </w:tcPr>
          <w:p>
            <w:r>
              <w:rPr>
                <w:b/>
                <w:color w:val="FFFFFF"/>
                <w:sz w:val="20"/>
              </w:rPr>
              <w:t>Current Value (Render)</w:t>
            </w:r>
          </w:p>
        </w:tc>
        <w:tc>
          <w:tcPr>
            <w:tcW w:type="dxa" w:w="2484"/>
            <w:shd w:val="clear" w:color="auto" w:fill="0F172A"/>
          </w:tcPr>
          <w:p>
            <w:r>
              <w:rPr>
                <w:b/>
                <w:color w:val="FFFFFF"/>
                <w:sz w:val="20"/>
              </w:rPr>
              <w:t>New Value on Your VM</w:t>
            </w:r>
          </w:p>
        </w:tc>
        <w:tc>
          <w:tcPr>
            <w:tcW w:type="dxa" w:w="2484"/>
            <w:shd w:val="clear" w:color="auto" w:fill="0F172A"/>
          </w:tcPr>
          <w:p>
            <w:r>
              <w:rPr>
                <w:b/>
                <w:color w:val="FFFFFF"/>
                <w:sz w:val="20"/>
              </w:rPr>
              <w:t>Purpose</w:t>
            </w:r>
          </w:p>
        </w:tc>
      </w:tr>
      <w:tr>
        <w:tc>
          <w:tcPr>
            <w:tcW w:type="dxa" w:w="2484"/>
            <w:shd w:val="clear" w:color="auto" w:fill="F8FAFC"/>
          </w:tcPr>
          <w:p>
            <w:r>
              <w:rPr>
                <w:color w:val="0F172A"/>
                <w:sz w:val="19"/>
              </w:rPr>
              <w:t>Frontend: VITE_API_URL</w:t>
              <w:br/>
              <w:t>(or frontend/src/config.js)</w:t>
            </w:r>
          </w:p>
        </w:tc>
        <w:tc>
          <w:tcPr>
            <w:tcW w:type="dxa" w:w="2484"/>
            <w:shd w:val="clear" w:color="auto" w:fill="F8FAFC"/>
          </w:tcPr>
          <w:p>
            <w:r>
              <w:rPr>
                <w:color w:val="0F172A"/>
                <w:sz w:val="19"/>
              </w:rPr>
              <w:t>https://ai-banking-system-3gzg.onrender.com</w:t>
            </w:r>
          </w:p>
        </w:tc>
        <w:tc>
          <w:tcPr>
            <w:tcW w:type="dxa" w:w="2484"/>
            <w:shd w:val="clear" w:color="auto" w:fill="F8FAFC"/>
          </w:tcPr>
          <w:p>
            <w:r>
              <w:rPr>
                <w:color w:val="0F172A"/>
                <w:sz w:val="19"/>
              </w:rPr>
              <w:t>http://&lt;YOUR_VM_IP&gt;:8000</w:t>
              <w:br/>
              <w:t>(or https://api.yourdomain.com)</w:t>
            </w:r>
          </w:p>
        </w:tc>
        <w:tc>
          <w:tcPr>
            <w:tcW w:type="dxa" w:w="2484"/>
            <w:shd w:val="clear" w:color="auto" w:fill="F8FAFC"/>
          </w:tcPr>
          <w:p>
            <w:r>
              <w:rPr>
                <w:color w:val="0F172A"/>
                <w:sz w:val="19"/>
              </w:rPr>
              <w:t>Points the React frontend to your new VM's FastAPI backend URL.</w:t>
            </w:r>
          </w:p>
        </w:tc>
      </w:tr>
      <w:tr>
        <w:tc>
          <w:tcPr>
            <w:tcW w:type="dxa" w:w="2484"/>
            <w:shd w:val="clear" w:color="auto" w:fill="FFFFFF"/>
          </w:tcPr>
          <w:p>
            <w:r>
              <w:rPr>
                <w:color w:val="0F172A"/>
                <w:sz w:val="19"/>
              </w:rPr>
              <w:t>Backend: DATABASE_URL &amp; GEMINI_API_KEY</w:t>
              <w:br/>
              <w:t>(in backend/.env)</w:t>
            </w:r>
          </w:p>
        </w:tc>
        <w:tc>
          <w:tcPr>
            <w:tcW w:type="dxa" w:w="2484"/>
            <w:shd w:val="clear" w:color="auto" w:fill="FFFFFF"/>
          </w:tcPr>
          <w:p>
            <w:r>
              <w:rPr>
                <w:color w:val="0F172A"/>
                <w:sz w:val="19"/>
              </w:rPr>
              <w:t>Render Managed Postgres URL</w:t>
            </w:r>
          </w:p>
        </w:tc>
        <w:tc>
          <w:tcPr>
            <w:tcW w:type="dxa" w:w="2484"/>
            <w:shd w:val="clear" w:color="auto" w:fill="FFFFFF"/>
          </w:tcPr>
          <w:p>
            <w:r>
              <w:rPr>
                <w:color w:val="0F172A"/>
                <w:sz w:val="19"/>
              </w:rPr>
              <w:t>postgresql://bankuser:bankpass@localhost:5432/aibanking</w:t>
              <w:br/>
              <w:t>(or omit to use built-in SQLite automatically!)</w:t>
            </w:r>
          </w:p>
        </w:tc>
        <w:tc>
          <w:tcPr>
            <w:tcW w:type="dxa" w:w="2484"/>
            <w:shd w:val="clear" w:color="auto" w:fill="FFFFFF"/>
          </w:tcPr>
          <w:p>
            <w:r>
              <w:rPr>
                <w:color w:val="0F172A"/>
                <w:sz w:val="19"/>
              </w:rPr>
              <w:t>Connects FastAPI to your VM's PostgreSQL database (or local SQLite) and Google Gemini API.</w:t>
            </w:r>
          </w:p>
        </w:tc>
      </w:tr>
    </w:tbl>
    <w:p/>
    <w:p>
      <w:pPr>
        <w:pStyle w:val="Heading2"/>
      </w:pPr>
      <w:r>
        <w:t>5.2 Method A: Fast Migration Using Docker &amp; Docker Compose (Recommended for Any VM)</w:t>
      </w:r>
    </w:p>
    <w:p>
      <w:r>
        <w:t>If your target VM has Docker and Docker Compose installed, you can launch the entire stack (PostgreSQL + FastAPI Backend + React Frontend) with a single command.</w:t>
      </w:r>
    </w:p>
    <w:tbl>
      <w:tblPr>
        <w:tblStyle w:val="TableGrid"/>
        <w:tblW w:type="auto" w:w="0"/>
        <w:tblLook w:firstColumn="1" w:firstRow="1" w:lastColumn="0" w:lastRow="0" w:noHBand="0" w:noVBand="1" w:val="04A0"/>
      </w:tblPr>
      <w:tblGrid>
        <w:gridCol w:w="9936"/>
      </w:tblGrid>
      <w:tr>
        <w:tc>
          <w:tcPr>
            <w:tcW w:type="dxa" w:w="9936"/>
            <w:shd w:val="clear" w:color="auto" w:fill="0F172A"/>
          </w:tcPr>
          <w:p>
            <w:r>
              <w:rPr>
                <w:rFonts w:ascii="Consolas" w:hAnsi="Consolas"/>
                <w:color w:val="E2E8F0"/>
                <w:sz w:val="18"/>
              </w:rPr>
              <w:t># 1. SSH into your new VM (AWS EC2 / Azure / GCP / DigitalOcean)</w:t>
              <w:br/>
              <w:t>ssh ubuntu@&lt;YOUR_VM_PUBLIC_IP&gt;</w:t>
              <w:br/>
              <w:br/>
              <w:t># 2. Clone the repository from GitHub</w:t>
              <w:br/>
              <w:t>git clone https://github.com/ai-aadi-ops/AI-Banking-System.git</w:t>
              <w:br/>
              <w:t>cd AI-Banking-System</w:t>
              <w:br/>
              <w:br/>
              <w:t># 3. Create environment configuration</w:t>
              <w:br/>
              <w:t>cat &lt;&lt;EOF &gt; backend/.env</w:t>
              <w:br/>
              <w:t>DATABASE_URL=postgresql://postgres:postgres@db:5432/finance_db</w:t>
              <w:br/>
              <w:t>GEMINI_API_KEY=your_google_gemini_api_key_here</w:t>
              <w:br/>
              <w:t>EOF</w:t>
              <w:br/>
              <w:br/>
              <w:t># 4. Set your VM IP or domain for the frontend build</w:t>
              <w:br/>
              <w:t>export VITE_API_URL="http://&lt;YOUR_VM_PUBLIC_IP&gt;:8000"</w:t>
              <w:br/>
              <w:br/>
              <w:t># 5. Build and start all services in detached mode</w:t>
              <w:br/>
              <w:t>docker compose up -d --build</w:t>
            </w:r>
          </w:p>
        </w:tc>
      </w:tr>
    </w:tbl>
    <w:p/>
    <w:p>
      <w:pPr>
        <w:pStyle w:val="Heading2"/>
      </w:pPr>
      <w:r>
        <w:t>5.3 Method B: Native Ubuntu/Debian VM Deployment (systemd + Nginx + PostgreSQL)</w:t>
      </w:r>
    </w:p>
    <w:p>
      <w:r>
        <w:t>Follow these exact step-by-step commands to deploy natively on a fresh Ubuntu 22.04 / 24.04 LTS Virtual Machine without Docker:</w:t>
      </w:r>
    </w:p>
    <w:tbl>
      <w:tblPr>
        <w:tblStyle w:val="TableGrid"/>
        <w:tblW w:type="auto" w:w="0"/>
        <w:tblLook w:firstColumn="1" w:firstRow="1" w:lastColumn="0" w:lastRow="0" w:noHBand="0" w:noVBand="1" w:val="04A0"/>
      </w:tblPr>
      <w:tblGrid>
        <w:gridCol w:w="9936"/>
      </w:tblGrid>
      <w:tr>
        <w:tc>
          <w:tcPr>
            <w:tcW w:type="dxa" w:w="9936"/>
            <w:shd w:val="clear" w:color="auto" w:fill="0F172A"/>
          </w:tcPr>
          <w:p>
            <w:r>
              <w:rPr>
                <w:rFonts w:ascii="Consolas" w:hAnsi="Consolas"/>
                <w:color w:val="E2E8F0"/>
                <w:sz w:val="18"/>
              </w:rPr>
              <w:t># STEP 1: Install System Dependencies (Python 3, Node.js 20, PostgreSQL, Nginx)</w:t>
              <w:br/>
              <w:t>sudo apt update &amp;&amp; sudo apt upgrade -y</w:t>
              <w:br/>
              <w:t>sudo apt install -y python3-pip python3-venv nodejs npm postgresql postgresql-contrib nginx git</w:t>
              <w:br/>
              <w:br/>
              <w:t># STEP 2: Configure PostgreSQL Database</w:t>
              <w:br/>
              <w:t>sudo -u postgres psql -c "CREATE USER bankadmin WITH PASSWORD 'StrongPassword123';"</w:t>
              <w:br/>
              <w:t>sudo -u postgres psql -c "CREATE DATABASE ai_banking OWNER bankadmin;"</w:t>
              <w:br/>
              <w:br/>
              <w:t># STEP 3: Clone Repository &amp; Setup Backend Virtual Environment</w:t>
              <w:br/>
              <w:t>cd /opt</w:t>
              <w:br/>
              <w:t>sudo git clone https://github.com/ai-aadi-ops/AI-Banking-System.git</w:t>
              <w:br/>
              <w:t>sudo chown -R $USER:$USER /opt/AI-Banking-System</w:t>
              <w:br/>
              <w:t>cd /opt/AI-Banking-System/backend</w:t>
              <w:br/>
              <w:br/>
              <w:t>python3 -m venv venv</w:t>
              <w:br/>
              <w:t>source venv/bin/activate</w:t>
              <w:br/>
              <w:t>pip install --upgrade pip</w:t>
              <w:br/>
              <w:t>pip install -r requirements.txt</w:t>
              <w:br/>
              <w:br/>
              <w:t># Create backend/.env file</w:t>
              <w:br/>
              <w:t>cat &lt;&lt;EOF &gt; /opt/AI-Banking-System/backend/.env</w:t>
              <w:br/>
              <w:t>DATABASE_URL=postgresql://bankadmin:StrongPassword123@localhost:5432/ai_banking</w:t>
              <w:br/>
              <w:t>GEMINI_API_KEY=your_google_gemini_api_key_here</w:t>
              <w:br/>
              <w:t>EOF</w:t>
              <w:br/>
              <w:br/>
              <w:t># STEP 4: Create systemd Service for FastAPI Backend (/etc/systemd/system/ai-banking-backend.service)</w:t>
              <w:br/>
              <w:t>sudo tee /etc/systemd/system/ai-banking-backend.service &gt; /dev/null &lt;&lt;EOF</w:t>
              <w:br/>
              <w:t>[Unit]</w:t>
              <w:br/>
              <w:t>Description=AI Banking FastAPI Backend</w:t>
              <w:br/>
              <w:t>After=network.target postgresql.service</w:t>
              <w:br/>
              <w:br/>
              <w:t>[Service]</w:t>
              <w:br/>
              <w:t>User=$USER</w:t>
              <w:br/>
              <w:t>WorkingDirectory=/opt/AI-Banking-System/backend</w:t>
              <w:br/>
              <w:t>EnvironmentFile=/opt/AI-Banking-System/backend/.env</w:t>
              <w:br/>
              <w:t>ExecStart=/opt/AI-Banking-System/backend/venv/bin/uvicorn app.main:app --host 0.0.0.0 --port 8000 --workers 2</w:t>
              <w:br/>
              <w:t>Restart=always</w:t>
              <w:br/>
              <w:t>RestartSec=5</w:t>
              <w:br/>
              <w:br/>
              <w:t>[Install]</w:t>
              <w:br/>
              <w:t>WantedBy=multi-user.target</w:t>
              <w:br/>
              <w:t>EOF</w:t>
              <w:br/>
              <w:br/>
              <w:t>sudo systemctl daemon-reload</w:t>
              <w:br/>
              <w:t>sudo systemctl enable --now ai-banking-backend</w:t>
              <w:br/>
              <w:br/>
              <w:t># STEP 5: Build React Frontend for Production</w:t>
              <w:br/>
              <w:t>cd /opt/AI-Banking-System/frontend</w:t>
              <w:br/>
              <w:t>export VITE_API_URL="http://&lt;YOUR_VM_PUBLIC_IP&gt;:8000"</w:t>
              <w:br/>
              <w:t>npm install</w:t>
              <w:br/>
              <w:t>npm run build</w:t>
              <w:br/>
              <w:br/>
              <w:t># STEP 6: Configure Nginx to Serve Frontend SPA &amp; Proxy API Requests</w:t>
              <w:br/>
              <w:t>sudo tee /etc/nginx/sites-available/ai-banking &gt; /dev/null &lt;&lt;'EOF'</w:t>
              <w:br/>
              <w:t>server {</w:t>
              <w:br/>
              <w:t xml:space="preserve">    listen 80;</w:t>
              <w:br/>
              <w:t xml:space="preserve">    server_name _;</w:t>
              <w:br/>
              <w:br/>
              <w:t xml:space="preserve">    root /opt/AI-Banking-System/frontend/dist;</w:t>
              <w:br/>
              <w:t xml:space="preserve">    index index.html;</w:t>
              <w:br/>
              <w:br/>
              <w:t xml:space="preserve">    # React Router SPA fallback for dynamic /:userSlug-dashboard routes</w:t>
              <w:br/>
              <w:t xml:space="preserve">    location / {</w:t>
              <w:br/>
              <w:t xml:space="preserve">        try_files $uri $uri/ /index.html;</w:t>
              <w:br/>
              <w:t xml:space="preserve">    }</w:t>
              <w:br/>
              <w:br/>
              <w:t xml:space="preserve">    # Optional: Reverse proxy /api to FastAPI backend on port 8000</w:t>
              <w:br/>
              <w:t xml:space="preserve">    location /api/ {</w:t>
              <w:br/>
              <w:t xml:space="preserve">        proxy_pass http://127.0.0.1:8000/;</w:t>
              <w:br/>
              <w:t xml:space="preserve">        proxy_set_header Host $host;</w:t>
              <w:br/>
              <w:t xml:space="preserve">        proxy_set_header X-Real-IP $remote_addr;</w:t>
              <w:br/>
              <w:t xml:space="preserve">        client_max_body_size 25M;</w:t>
              <w:br/>
              <w:t xml:space="preserve">    }</w:t>
              <w:br/>
              <w:t>}</w:t>
              <w:br/>
              <w:t>EOF</w:t>
              <w:br/>
              <w:br/>
              <w:t>sudo ln -sf /etc/nginx/sites-available/ai-banking /etc/nginx/sites-enabled/default</w:t>
              <w:br/>
              <w:t>sudo nginx -t &amp;&amp; sudo systemctl restart nginx</w:t>
            </w:r>
          </w:p>
        </w:tc>
      </w:tr>
    </w:tbl>
    <w:p/>
    <w:p>
      <w:pPr>
        <w:pStyle w:val="Heading1"/>
      </w:pPr>
      <w:r>
        <w:t>6. Complete REST API &amp; Module Reference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0F172A"/>
          </w:tcPr>
          <w:p>
            <w:r>
              <w:rPr>
                <w:b/>
                <w:color w:val="FFFFFF"/>
                <w:sz w:val="20"/>
              </w:rPr>
              <w:t>HTTP Method &amp; Endpoint</w:t>
            </w:r>
          </w:p>
        </w:tc>
        <w:tc>
          <w:tcPr>
            <w:tcW w:type="dxa" w:w="3312"/>
            <w:shd w:val="clear" w:color="auto" w:fill="0F172A"/>
          </w:tcPr>
          <w:p>
            <w:r>
              <w:rPr>
                <w:b/>
                <w:color w:val="FFFFFF"/>
                <w:sz w:val="20"/>
              </w:rPr>
              <w:t>Key Parameters</w:t>
            </w:r>
          </w:p>
        </w:tc>
        <w:tc>
          <w:tcPr>
            <w:tcW w:type="dxa" w:w="3312"/>
            <w:shd w:val="clear" w:color="auto" w:fill="0F172A"/>
          </w:tcPr>
          <w:p>
            <w:r>
              <w:rPr>
                <w:b/>
                <w:color w:val="FFFFFF"/>
                <w:sz w:val="20"/>
              </w:rPr>
              <w:t>Description</w:t>
            </w:r>
          </w:p>
        </w:tc>
      </w:tr>
      <w:tr>
        <w:tc>
          <w:tcPr>
            <w:tcW w:type="dxa" w:w="3312"/>
            <w:shd w:val="clear" w:color="auto" w:fill="F8FAFC"/>
          </w:tcPr>
          <w:p>
            <w:r>
              <w:rPr>
                <w:color w:val="0F172A"/>
                <w:sz w:val="19"/>
              </w:rPr>
              <w:t>POST /auth/register</w:t>
            </w:r>
          </w:p>
        </w:tc>
        <w:tc>
          <w:tcPr>
            <w:tcW w:type="dxa" w:w="3312"/>
            <w:shd w:val="clear" w:color="auto" w:fill="F8FAFC"/>
          </w:tcPr>
          <w:p>
            <w:r>
              <w:rPr>
                <w:color w:val="0F172A"/>
                <w:sz w:val="19"/>
              </w:rPr>
              <w:t>full_name, email, password, country, preferred_language</w:t>
            </w:r>
          </w:p>
        </w:tc>
        <w:tc>
          <w:tcPr>
            <w:tcW w:type="dxa" w:w="3312"/>
            <w:shd w:val="clear" w:color="auto" w:fill="F8FAFC"/>
          </w:tcPr>
          <w:p>
            <w:r>
              <w:rPr>
                <w:color w:val="0F172A"/>
                <w:sz w:val="19"/>
              </w:rPr>
              <w:t>Creates isolated User, Customer, Account &amp; Card records</w:t>
            </w:r>
          </w:p>
        </w:tc>
      </w:tr>
      <w:tr>
        <w:tc>
          <w:tcPr>
            <w:tcW w:type="dxa" w:w="3312"/>
            <w:shd w:val="clear" w:color="auto" w:fill="FFFFFF"/>
          </w:tcPr>
          <w:p>
            <w:r>
              <w:rPr>
                <w:color w:val="0F172A"/>
                <w:sz w:val="19"/>
              </w:rPr>
              <w:t>POST /auth/login</w:t>
            </w:r>
          </w:p>
        </w:tc>
        <w:tc>
          <w:tcPr>
            <w:tcW w:type="dxa" w:w="3312"/>
            <w:shd w:val="clear" w:color="auto" w:fill="FFFFFF"/>
          </w:tcPr>
          <w:p>
            <w:r>
              <w:rPr>
                <w:color w:val="0F172A"/>
                <w:sz w:val="19"/>
              </w:rPr>
              <w:t>email, password</w:t>
            </w:r>
          </w:p>
        </w:tc>
        <w:tc>
          <w:tcPr>
            <w:tcW w:type="dxa" w:w="3312"/>
            <w:shd w:val="clear" w:color="auto" w:fill="FFFFFF"/>
          </w:tcPr>
          <w:p>
            <w:r>
              <w:rPr>
                <w:color w:val="0F172A"/>
                <w:sz w:val="19"/>
              </w:rPr>
              <w:t>Authenticates user (or Demo Robert Wilson) and returns session profile</w:t>
            </w:r>
          </w:p>
        </w:tc>
      </w:tr>
      <w:tr>
        <w:tc>
          <w:tcPr>
            <w:tcW w:type="dxa" w:w="3312"/>
            <w:shd w:val="clear" w:color="auto" w:fill="F8FAFC"/>
          </w:tcPr>
          <w:p>
            <w:r>
              <w:rPr>
                <w:color w:val="0F172A"/>
                <w:sz w:val="19"/>
              </w:rPr>
              <w:t>POST /auth/forgot-password</w:t>
            </w:r>
          </w:p>
        </w:tc>
        <w:tc>
          <w:tcPr>
            <w:tcW w:type="dxa" w:w="3312"/>
            <w:shd w:val="clear" w:color="auto" w:fill="F8FAFC"/>
          </w:tcPr>
          <w:p>
            <w:r>
              <w:rPr>
                <w:color w:val="0F172A"/>
                <w:sz w:val="19"/>
              </w:rPr>
              <w:t>email, new_password</w:t>
            </w:r>
          </w:p>
        </w:tc>
        <w:tc>
          <w:tcPr>
            <w:tcW w:type="dxa" w:w="3312"/>
            <w:shd w:val="clear" w:color="auto" w:fill="F8FAFC"/>
          </w:tcPr>
          <w:p>
            <w:r>
              <w:rPr>
                <w:color w:val="0F172A"/>
                <w:sz w:val="19"/>
              </w:rPr>
              <w:t>Updates user password hash in database</w:t>
            </w:r>
          </w:p>
        </w:tc>
      </w:tr>
      <w:tr>
        <w:tc>
          <w:tcPr>
            <w:tcW w:type="dxa" w:w="3312"/>
            <w:shd w:val="clear" w:color="auto" w:fill="FFFFFF"/>
          </w:tcPr>
          <w:p>
            <w:r>
              <w:rPr>
                <w:color w:val="0F172A"/>
                <w:sz w:val="19"/>
              </w:rPr>
              <w:t>POST /auth/delete-account</w:t>
            </w:r>
          </w:p>
        </w:tc>
        <w:tc>
          <w:tcPr>
            <w:tcW w:type="dxa" w:w="3312"/>
            <w:shd w:val="clear" w:color="auto" w:fill="FFFFFF"/>
          </w:tcPr>
          <w:p>
            <w:r>
              <w:rPr>
                <w:color w:val="0F172A"/>
                <w:sz w:val="19"/>
              </w:rPr>
              <w:t>customer_id, email, password</w:t>
            </w:r>
          </w:p>
        </w:tc>
        <w:tc>
          <w:tcPr>
            <w:tcW w:type="dxa" w:w="3312"/>
            <w:shd w:val="clear" w:color="auto" w:fill="FFFFFF"/>
          </w:tcPr>
          <w:p>
            <w:r>
              <w:rPr>
                <w:color w:val="0F172A"/>
                <w:sz w:val="19"/>
              </w:rPr>
              <w:t>Deletes user account after password verification (requires robert@123 for Demo)</w:t>
            </w:r>
          </w:p>
        </w:tc>
      </w:tr>
      <w:tr>
        <w:tc>
          <w:tcPr>
            <w:tcW w:type="dxa" w:w="3312"/>
            <w:shd w:val="clear" w:color="auto" w:fill="F8FAFC"/>
          </w:tcPr>
          <w:p>
            <w:r>
              <w:rPr>
                <w:color w:val="0F172A"/>
                <w:sz w:val="19"/>
              </w:rPr>
              <w:t>GET /auth/resolve-slug/{slug}</w:t>
            </w:r>
          </w:p>
        </w:tc>
        <w:tc>
          <w:tcPr>
            <w:tcW w:type="dxa" w:w="3312"/>
            <w:shd w:val="clear" w:color="auto" w:fill="F8FAFC"/>
          </w:tcPr>
          <w:p>
            <w:r>
              <w:rPr>
                <w:color w:val="0F172A"/>
                <w:sz w:val="19"/>
              </w:rPr>
              <w:t>slug, preferred_cid</w:t>
            </w:r>
          </w:p>
        </w:tc>
        <w:tc>
          <w:tcPr>
            <w:tcW w:type="dxa" w:w="3312"/>
            <w:shd w:val="clear" w:color="auto" w:fill="F8FAFC"/>
          </w:tcPr>
          <w:p>
            <w:r>
              <w:rPr>
                <w:color w:val="0F172A"/>
                <w:sz w:val="19"/>
              </w:rPr>
              <w:t>Resolves /:userSlug-dashboard URL to the active customer_id and statement holder name</w:t>
            </w:r>
          </w:p>
        </w:tc>
      </w:tr>
      <w:tr>
        <w:tc>
          <w:tcPr>
            <w:tcW w:type="dxa" w:w="3312"/>
            <w:shd w:val="clear" w:color="auto" w:fill="FFFFFF"/>
          </w:tcPr>
          <w:p>
            <w:r>
              <w:rPr>
                <w:color w:val="0F172A"/>
                <w:sz w:val="19"/>
              </w:rPr>
              <w:t>POST /statements/upload</w:t>
            </w:r>
          </w:p>
        </w:tc>
        <w:tc>
          <w:tcPr>
            <w:tcW w:type="dxa" w:w="3312"/>
            <w:shd w:val="clear" w:color="auto" w:fill="FFFFFF"/>
          </w:tcPr>
          <w:p>
            <w:r>
              <w:rPr>
                <w:color w:val="0F172A"/>
                <w:sz w:val="19"/>
              </w:rPr>
              <w:t>file (PDF/Excel/CSV/Image), customer_id, country</w:t>
            </w:r>
          </w:p>
        </w:tc>
        <w:tc>
          <w:tcPr>
            <w:tcW w:type="dxa" w:w="3312"/>
            <w:shd w:val="clear" w:color="auto" w:fill="FFFFFF"/>
          </w:tcPr>
          <w:p>
            <w:r>
              <w:rPr>
                <w:color w:val="0F172A"/>
                <w:sz w:val="19"/>
              </w:rPr>
              <w:t>Runs 4-stage RAG ingestion, extracts transactions &amp; updates account metrics</w:t>
            </w:r>
          </w:p>
        </w:tc>
      </w:tr>
      <w:tr>
        <w:tc>
          <w:tcPr>
            <w:tcW w:type="dxa" w:w="3312"/>
            <w:shd w:val="clear" w:color="auto" w:fill="F8FAFC"/>
          </w:tcPr>
          <w:p>
            <w:r>
              <w:rPr>
                <w:color w:val="0F172A"/>
                <w:sz w:val="19"/>
              </w:rPr>
              <w:t>POST /statements/sample</w:t>
            </w:r>
          </w:p>
        </w:tc>
        <w:tc>
          <w:tcPr>
            <w:tcW w:type="dxa" w:w="3312"/>
            <w:shd w:val="clear" w:color="auto" w:fill="F8FAFC"/>
          </w:tcPr>
          <w:p>
            <w:r>
              <w:rPr>
                <w:color w:val="0F172A"/>
                <w:sz w:val="19"/>
              </w:rPr>
              <w:t>customer_id, currency, country</w:t>
            </w:r>
          </w:p>
        </w:tc>
        <w:tc>
          <w:tcPr>
            <w:tcW w:type="dxa" w:w="3312"/>
            <w:shd w:val="clear" w:color="auto" w:fill="F8FAFC"/>
          </w:tcPr>
          <w:p>
            <w:r>
              <w:rPr>
                <w:color w:val="0F172A"/>
                <w:sz w:val="19"/>
              </w:rPr>
              <w:t>Loads a country-tailored sample statement for quick testing</w:t>
            </w:r>
          </w:p>
        </w:tc>
      </w:tr>
      <w:tr>
        <w:tc>
          <w:tcPr>
            <w:tcW w:type="dxa" w:w="3312"/>
            <w:shd w:val="clear" w:color="auto" w:fill="FFFFFF"/>
          </w:tcPr>
          <w:p>
            <w:r>
              <w:rPr>
                <w:color w:val="0F172A"/>
                <w:sz w:val="19"/>
              </w:rPr>
              <w:t>POST /statements/clear</w:t>
            </w:r>
          </w:p>
        </w:tc>
        <w:tc>
          <w:tcPr>
            <w:tcW w:type="dxa" w:w="3312"/>
            <w:shd w:val="clear" w:color="auto" w:fill="FFFFFF"/>
          </w:tcPr>
          <w:p>
            <w:r>
              <w:rPr>
                <w:color w:val="0F172A"/>
                <w:sz w:val="19"/>
              </w:rPr>
              <w:t>customer_id</w:t>
            </w:r>
          </w:p>
        </w:tc>
        <w:tc>
          <w:tcPr>
            <w:tcW w:type="dxa" w:w="3312"/>
            <w:shd w:val="clear" w:color="auto" w:fill="FFFFFF"/>
          </w:tcPr>
          <w:p>
            <w:r>
              <w:rPr>
                <w:color w:val="0F172A"/>
                <w:sz w:val="19"/>
              </w:rPr>
              <w:t>Clears uploaded transactions and resets balance/savings to 0</w:t>
            </w:r>
          </w:p>
        </w:tc>
      </w:tr>
      <w:tr>
        <w:tc>
          <w:tcPr>
            <w:tcW w:type="dxa" w:w="3312"/>
            <w:shd w:val="clear" w:color="auto" w:fill="F8FAFC"/>
          </w:tcPr>
          <w:p>
            <w:r>
              <w:rPr>
                <w:color w:val="0F172A"/>
                <w:sz w:val="19"/>
              </w:rPr>
              <w:t>GET /dashboard</w:t>
            </w:r>
          </w:p>
        </w:tc>
        <w:tc>
          <w:tcPr>
            <w:tcW w:type="dxa" w:w="3312"/>
            <w:shd w:val="clear" w:color="auto" w:fill="F8FAFC"/>
          </w:tcPr>
          <w:p>
            <w:r>
              <w:rPr>
                <w:color w:val="0F172A"/>
                <w:sz w:val="19"/>
              </w:rPr>
              <w:t>customer_id, cleared</w:t>
            </w:r>
          </w:p>
        </w:tc>
        <w:tc>
          <w:tcPr>
            <w:tcW w:type="dxa" w:w="3312"/>
            <w:shd w:val="clear" w:color="auto" w:fill="F8FAFC"/>
          </w:tcPr>
          <w:p>
            <w:r>
              <w:rPr>
                <w:color w:val="0F172A"/>
                <w:sz w:val="19"/>
              </w:rPr>
              <w:t>Returns balance, income, expenses, savings, health score/status, and AI insights</w:t>
            </w:r>
          </w:p>
        </w:tc>
      </w:tr>
      <w:tr>
        <w:tc>
          <w:tcPr>
            <w:tcW w:type="dxa" w:w="3312"/>
            <w:shd w:val="clear" w:color="auto" w:fill="FFFFFF"/>
          </w:tcPr>
          <w:p>
            <w:r>
              <w:rPr>
                <w:color w:val="0F172A"/>
                <w:sz w:val="19"/>
              </w:rPr>
              <w:t>GET /spending-chart</w:t>
            </w:r>
          </w:p>
        </w:tc>
        <w:tc>
          <w:tcPr>
            <w:tcW w:type="dxa" w:w="3312"/>
            <w:shd w:val="clear" w:color="auto" w:fill="FFFFFF"/>
          </w:tcPr>
          <w:p>
            <w:r>
              <w:rPr>
                <w:color w:val="0F172A"/>
                <w:sz w:val="19"/>
              </w:rPr>
              <w:t>customer_id, cleared</w:t>
            </w:r>
          </w:p>
        </w:tc>
        <w:tc>
          <w:tcPr>
            <w:tcW w:type="dxa" w:w="3312"/>
            <w:shd w:val="clear" w:color="auto" w:fill="FFFFFF"/>
          </w:tcPr>
          <w:p>
            <w:r>
              <w:rPr>
                <w:color w:val="0F172A"/>
                <w:sz w:val="19"/>
              </w:rPr>
              <w:t>Returns date-wise (1-2 mo) or month-wise (3+ mo) expense series for Recharts</w:t>
            </w:r>
          </w:p>
        </w:tc>
      </w:tr>
      <w:tr>
        <w:tc>
          <w:tcPr>
            <w:tcW w:type="dxa" w:w="3312"/>
            <w:shd w:val="clear" w:color="auto" w:fill="F8FAFC"/>
          </w:tcPr>
          <w:p>
            <w:r>
              <w:rPr>
                <w:color w:val="0F172A"/>
                <w:sz w:val="19"/>
              </w:rPr>
              <w:t>GET /transactions</w:t>
            </w:r>
          </w:p>
        </w:tc>
        <w:tc>
          <w:tcPr>
            <w:tcW w:type="dxa" w:w="3312"/>
            <w:shd w:val="clear" w:color="auto" w:fill="F8FAFC"/>
          </w:tcPr>
          <w:p>
            <w:r>
              <w:rPr>
                <w:color w:val="0F172A"/>
                <w:sz w:val="19"/>
              </w:rPr>
              <w:t>customer_id, cleared</w:t>
            </w:r>
          </w:p>
        </w:tc>
        <w:tc>
          <w:tcPr>
            <w:tcW w:type="dxa" w:w="3312"/>
            <w:shd w:val="clear" w:color="auto" w:fill="F8FAFC"/>
          </w:tcPr>
          <w:p>
            <w:r>
              <w:rPr>
                <w:color w:val="0F172A"/>
                <w:sz w:val="19"/>
              </w:rPr>
              <w:t>Returns chronological list of categorized transactions</w:t>
            </w:r>
          </w:p>
        </w:tc>
      </w:tr>
      <w:tr>
        <w:tc>
          <w:tcPr>
            <w:tcW w:type="dxa" w:w="3312"/>
            <w:shd w:val="clear" w:color="auto" w:fill="FFFFFF"/>
          </w:tcPr>
          <w:p>
            <w:r>
              <w:rPr>
                <w:color w:val="0F172A"/>
                <w:sz w:val="19"/>
              </w:rPr>
              <w:t>GET /ai/analyze/{customer_id}</w:t>
            </w:r>
          </w:p>
        </w:tc>
        <w:tc>
          <w:tcPr>
            <w:tcW w:type="dxa" w:w="3312"/>
            <w:shd w:val="clear" w:color="auto" w:fill="FFFFFF"/>
          </w:tcPr>
          <w:p>
            <w:r>
              <w:rPr>
                <w:color w:val="0F172A"/>
                <w:sz w:val="19"/>
              </w:rPr>
              <w:t>customer_id, cleared</w:t>
            </w:r>
          </w:p>
        </w:tc>
        <w:tc>
          <w:tcPr>
            <w:tcW w:type="dxa" w:w="3312"/>
            <w:shd w:val="clear" w:color="auto" w:fill="FFFFFF"/>
          </w:tcPr>
          <w:p>
            <w:r>
              <w:rPr>
                <w:color w:val="0F172A"/>
                <w:sz w:val="19"/>
              </w:rPr>
              <w:t>Returns total spent, highest category, favorite merchant &amp; category breakdown</w:t>
            </w:r>
          </w:p>
        </w:tc>
      </w:tr>
      <w:tr>
        <w:tc>
          <w:tcPr>
            <w:tcW w:type="dxa" w:w="3312"/>
            <w:shd w:val="clear" w:color="auto" w:fill="F8FAFC"/>
          </w:tcPr>
          <w:p>
            <w:r>
              <w:rPr>
                <w:color w:val="0F172A"/>
                <w:sz w:val="19"/>
              </w:rPr>
              <w:t>GET /ai/financial-health/{id}</w:t>
            </w:r>
          </w:p>
        </w:tc>
        <w:tc>
          <w:tcPr>
            <w:tcW w:type="dxa" w:w="3312"/>
            <w:shd w:val="clear" w:color="auto" w:fill="F8FAFC"/>
          </w:tcPr>
          <w:p>
            <w:r>
              <w:rPr>
                <w:color w:val="0F172A"/>
                <w:sz w:val="19"/>
              </w:rPr>
              <w:t>customer_id, cleared</w:t>
            </w:r>
          </w:p>
        </w:tc>
        <w:tc>
          <w:tcPr>
            <w:tcW w:type="dxa" w:w="3312"/>
            <w:shd w:val="clear" w:color="auto" w:fill="F8FAFC"/>
          </w:tcPr>
          <w:p>
            <w:r>
              <w:rPr>
                <w:color w:val="0F172A"/>
                <w:sz w:val="19"/>
              </w:rPr>
              <w:t>Returns 0-100 health score, status (Poor/Average/Good/Excellent), ratios &amp; advice</w:t>
            </w:r>
          </w:p>
        </w:tc>
      </w:tr>
      <w:tr>
        <w:tc>
          <w:tcPr>
            <w:tcW w:type="dxa" w:w="3312"/>
            <w:shd w:val="clear" w:color="auto" w:fill="FFFFFF"/>
          </w:tcPr>
          <w:p>
            <w:r>
              <w:rPr>
                <w:color w:val="0F172A"/>
                <w:sz w:val="19"/>
              </w:rPr>
              <w:t>POST /ai/chat</w:t>
            </w:r>
          </w:p>
        </w:tc>
        <w:tc>
          <w:tcPr>
            <w:tcW w:type="dxa" w:w="3312"/>
            <w:shd w:val="clear" w:color="auto" w:fill="FFFFFF"/>
          </w:tcPr>
          <w:p>
            <w:r>
              <w:rPr>
                <w:color w:val="0F172A"/>
                <w:sz w:val="19"/>
              </w:rPr>
              <w:t>customer_id, question, language, delete_stage</w:t>
            </w:r>
          </w:p>
        </w:tc>
        <w:tc>
          <w:tcPr>
            <w:tcW w:type="dxa" w:w="3312"/>
            <w:shd w:val="clear" w:color="auto" w:fill="FFFFFF"/>
          </w:tcPr>
          <w:p>
            <w:r>
              <w:rPr>
                <w:color w:val="0F172A"/>
                <w:sz w:val="19"/>
              </w:rPr>
              <w:t>RAG conversational endpoint with Gemini AI, loan/EMI offers &amp; 3-step account deletion</w:t>
            </w:r>
          </w:p>
        </w:tc>
      </w:tr>
      <w:tr>
        <w:tc>
          <w:tcPr>
            <w:tcW w:type="dxa" w:w="3312"/>
            <w:shd w:val="clear" w:color="auto" w:fill="F8FAFC"/>
          </w:tcPr>
          <w:p>
            <w:r>
              <w:rPr>
                <w:color w:val="0F172A"/>
                <w:sz w:val="19"/>
              </w:rPr>
              <w:t>POST /demo/reset/{customer_id}</w:t>
            </w:r>
          </w:p>
        </w:tc>
        <w:tc>
          <w:tcPr>
            <w:tcW w:type="dxa" w:w="3312"/>
            <w:shd w:val="clear" w:color="auto" w:fill="F8FAFC"/>
          </w:tcPr>
          <w:p>
            <w:r>
              <w:rPr>
                <w:color w:val="0F172A"/>
                <w:sz w:val="19"/>
              </w:rPr>
              <w:t>customer_id = 1</w:t>
            </w:r>
          </w:p>
        </w:tc>
        <w:tc>
          <w:tcPr>
            <w:tcW w:type="dxa" w:w="3312"/>
            <w:shd w:val="clear" w:color="auto" w:fill="F8FAFC"/>
          </w:tcPr>
          <w:p>
            <w:r>
              <w:rPr>
                <w:color w:val="0F172A"/>
                <w:sz w:val="19"/>
              </w:rPr>
              <w:t>Restores Demo Account (Robert Wilson) back to $20,000.00 on F5 / Hard Refresh</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