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985B"/>
          <w:sz w:val="22"/>
        </w:rPr>
        <w:t>AI ADVOKAT</w:t>
      </w:r>
    </w:p>
    <w:p>
      <w:pPr>
        <w:pStyle w:val="Title"/>
        <w:jc w:val="center"/>
      </w:pPr>
      <w:r>
        <w:t>Водич за користење на Коментарот на ЗКП и базата</w:t>
      </w:r>
    </w:p>
    <w:p>
      <w:pPr>
        <w:jc w:val="center"/>
      </w:pPr>
      <w:r>
        <w:rPr>
          <w:i/>
          <w:color w:val="58687A"/>
          <w:sz w:val="22"/>
        </w:rPr>
        <w:t>FINAL MASTER v2.0 · Коментар на ЗКП v6 · JSONL корпус · AI Advokat · Human Gate</w:t>
      </w:r>
    </w:p>
    <w:p>
      <w:pPr>
        <w:jc w:val="center"/>
      </w:pPr>
      <w:r>
        <w:rPr>
          <w:b/>
          <w:sz w:val="20"/>
        </w:rPr>
        <w:t>Адвокат Зоран Стојанкиќ ·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EF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</w:rPr>
              <w:t xml:space="preserve">Правна граница. </w:t>
            </w:r>
            <w:r>
              <w:t>Коментарот е авторски професионален слој, не извор на право. Пред професионална употреба мора да се проверат важечката верзија на ЗКП, официјалниот извор, роковите, списите и релевантната судска практика.</w:t>
            </w:r>
          </w:p>
        </w:tc>
      </w:tr>
    </w:tbl>
    <w:p/>
    <w:p>
      <w:pPr>
        <w:pStyle w:val="Heading1"/>
      </w:pPr>
      <w:r>
        <w:t>1. Канонска хиерархија — како се чита системот</w:t>
      </w:r>
    </w:p>
    <w:p>
      <w:pPr>
        <w:pStyle w:val="ListNumber"/>
      </w:pPr>
      <w:r>
        <w:t>Закон / важечка нормативна одредба.</w:t>
      </w:r>
    </w:p>
    <w:p>
      <w:pPr>
        <w:pStyle w:val="ListNumber"/>
      </w:pPr>
      <w:r>
        <w:t>Официјален извор и проверка на верзија/датум.</w:t>
      </w:r>
    </w:p>
    <w:p>
      <w:pPr>
        <w:pStyle w:val="ListNumber"/>
      </w:pPr>
      <w:r>
        <w:t>Релевантна судска практика и ЕСЧП стандарди кога се применливи.</w:t>
      </w:r>
    </w:p>
    <w:p>
      <w:pPr>
        <w:pStyle w:val="ListNumber"/>
      </w:pPr>
      <w:r>
        <w:t>Коментар на ЗКП на адвокат Зоран Стојанкиќ — авторско толкување и практична систематизација.</w:t>
      </w:r>
    </w:p>
    <w:p>
      <w:pPr>
        <w:pStyle w:val="ListNumber"/>
      </w:pPr>
      <w:r>
        <w:t>Практични водичи и работни модели.</w:t>
      </w:r>
    </w:p>
    <w:p>
      <w:pPr>
        <w:pStyle w:val="ListNumber"/>
      </w:pPr>
      <w:r>
        <w:t>AI синтеза ограничена со проверените извори.</w:t>
      </w:r>
    </w:p>
    <w:p>
      <w:pPr>
        <w:pStyle w:val="ListNumber"/>
      </w:pPr>
      <w:r>
        <w:t>Human Gate — финална човечка професионална проверка.</w:t>
      </w:r>
    </w:p>
    <w:p>
      <w:pPr>
        <w:pStyle w:val="Heading1"/>
      </w:pPr>
      <w:r>
        <w:t>2. Quick Start — како да поставите добро прашање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F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</w:rPr>
              <w:t xml:space="preserve">Формула: </w:t>
            </w:r>
            <w:r>
              <w:t>ФАЗА + СУБЈЕКТ + ШТО СЕ СЛУЧИЛО + ШТО САКАТЕ ДА ПОСТИГНЕТЕ</w:t>
            </w:r>
          </w:p>
        </w:tc>
      </w:tr>
    </w:tbl>
    <w:p/>
    <w:p>
      <w:r>
        <w:t>Наместо „Притвор?“: „Во истрага сум; обвинетиот е во притвор. Кои одредби да ги проверам за преиспитување или замена на мерката?“</w:t>
      </w:r>
    </w:p>
    <w:p>
      <w:r>
        <w:t>Наместо „Незаконит доказ“: „На главна расправа се предлага доказ од претрес за кој одбраната тврди дека е незаконит. Кои членови и приговори треба да се проверат?“</w:t>
      </w:r>
    </w:p>
    <w:p>
      <w:pPr>
        <w:pStyle w:val="Heading1"/>
        <w:pageBreakBefore/>
      </w:pPr>
      <w:r>
        <w:t>3. Што содржат Коментарот и базата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Слој</w:t>
            </w:r>
          </w:p>
        </w:tc>
        <w:tc>
          <w:tcPr>
            <w:tcW w:type="dxa" w:w="336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Содржина</w:t>
            </w:r>
          </w:p>
        </w:tc>
        <w:tc>
          <w:tcPr>
            <w:tcW w:type="dxa" w:w="336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Улога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Законски текст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Интегрален текст на членот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Нормативна основа во рамките на внесената верзија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Коментар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Правна смисла и објаснување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Авторски секундарен професионален слој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Практика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Примена, стратегија и процесни ризици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Работна ориентација за професионалец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Формулации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Модели за приговор, барање, жалба или аргументација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Почетна рамка што мора да се приспособи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Метаподатоци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Фаза, актери, теми, ризик и поврзани членови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Пребарување, рангирање и насочување</w:t>
            </w:r>
          </w:p>
        </w:tc>
      </w:tr>
    </w:tbl>
    <w:p/>
    <w:p>
      <w:pPr>
        <w:pStyle w:val="Heading1"/>
      </w:pPr>
      <w:r>
        <w:t>4. Седумчекорен одговор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Чекор</w:t>
            </w:r>
          </w:p>
        </w:tc>
        <w:tc>
          <w:tcPr>
            <w:tcW w:type="dxa" w:w="336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Контролно прашање</w:t>
            </w:r>
          </w:p>
        </w:tc>
        <w:tc>
          <w:tcPr>
            <w:tcW w:type="dxa" w:w="336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Излез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1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Во која процесна фаза е предметот?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Фаза и контекст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2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Кој е релевантниот субјект?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Обвинет, бранител, ЈО, суд, оштетен...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3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Кој член е директно релевантен?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Главен член + тесен сет поврзани одредби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4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Што пишува законскиот текст?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Нормативен слој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Што објаснува Коментарот?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Авторски коментар и правна смисла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6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Што практично се проверува/прави?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Стратегија, ризици и работна формулација</w:t>
            </w:r>
          </w:p>
        </w:tc>
      </w:tr>
      <w:tr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7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Што мора човек да потврди?</w:t>
            </w:r>
          </w:p>
        </w:tc>
        <w:tc>
          <w:tcPr>
            <w:tcW w:type="dxa" w:w="336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Верзија, рок, факти, докази, практика и спис</w:t>
            </w:r>
          </w:p>
        </w:tc>
      </w:tr>
    </w:tbl>
    <w:p/>
    <w:p>
      <w:pPr>
        <w:pStyle w:val="Heading1"/>
      </w:pPr>
      <w:r>
        <w:t>5. Четири начини на работа</w:t>
      </w:r>
    </w:p>
    <w:p>
      <w:pPr>
        <w:pStyle w:val="ListBullet"/>
      </w:pPr>
      <w:r>
        <w:t>Навигација — кога не е познат членот: фаза + актер + тема → релевантни членови.</w:t>
      </w:r>
    </w:p>
    <w:p>
      <w:pPr>
        <w:pStyle w:val="ListBullet"/>
      </w:pPr>
      <w:r>
        <w:t>Проверка по член — законски текст + коментар + поврзани одредби.</w:t>
      </w:r>
    </w:p>
    <w:p>
      <w:pPr>
        <w:pStyle w:val="ListBullet"/>
      </w:pPr>
      <w:r>
        <w:t>Стратегија — практична примена + грешки + ризици + работна формулација.</w:t>
      </w:r>
    </w:p>
    <w:p>
      <w:pPr>
        <w:pStyle w:val="ListBullet"/>
      </w:pPr>
      <w:r>
        <w:t>Редакција / QA — контрола на метаподатоци, упатувања, provenance, верзионирање и release status.</w:t>
      </w:r>
    </w:p>
    <w:p>
      <w:pPr>
        <w:pStyle w:val="Heading1"/>
      </w:pPr>
      <w:r>
        <w:t>6. Практични примери и ризик</w:t>
      </w:r>
    </w:p>
    <w:p>
      <w:r>
        <w:t>Член 2 — презумпција на невиност: одговорот прво го покажува законскиот слој, а потоа коментарот. Human Gate ја проверува точната изјава, контекстот и процесниот статус.</w:t>
      </w:r>
    </w:p>
    <w:p>
      <w:r>
        <w:t>Член 12 — незаконит доказ: AI прво ја утврдува доказната линија, начинот на прибавување, процесната фаза и поврзаните одредби, па потоа нуди работна рамка за приговор или издвојување.</w:t>
      </w:r>
    </w:p>
    <w:p>
      <w:r>
        <w:t>Член 329 — признавање вина: нема автоматска препорака „признај/не признавај“. Се анализираат доказите, квалификацијата, последиците и роковите, со задолжителна човечка проценка.</w:t>
      </w:r>
    </w:p>
    <w:p>
      <w:r>
        <w:t>Fail-closed: ако верзијата, датумот, членот или изворот не може да се потврди, системот не го претставува заклучокот како сигурно тековно право.</w:t>
      </w:r>
    </w:p>
    <w:p>
      <w:pPr>
        <w:pStyle w:val="Heading1"/>
      </w:pPr>
      <w:r>
        <w:t>7. Техничка картичка — JSONL v6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504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Вредност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Records / unique articles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 / 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Coverage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1–568 + 267-а + 567-а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law_text / commentary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 / 570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Enriched metadata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542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Missing enrichment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1–26, 267-а, 567-а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Risk distribution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very_high 215 · high 235 · medium 92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Canonical role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knowledge_role = authorial_analysis · primary_law_dependency = mk:zkp · brand = AI Advokat</w:t>
            </w:r>
          </w:p>
        </w:tc>
      </w:tr>
    </w:tbl>
    <w:p/>
    <w:p>
      <w:r>
        <w:t>Празно поле не значи дозвола за дополнување по претпоставка. AI мора да работи со фактички достапната структура и да означи што недостасува.</w:t>
      </w:r>
    </w:p>
    <w:p>
      <w:pPr>
        <w:pStyle w:val="Heading1"/>
      </w:pPr>
      <w:r>
        <w:t>8. Human Gate</w:t>
      </w:r>
    </w:p>
    <w:p>
      <w:r>
        <w:t>Човечката проверка е суштинска особено кај лишување од слобода, признавање вина, правни лекови и рокови, незаконити докази, претреси и други дејствија што директно ја менуваат процесната положба.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F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</w:rPr>
              <w:t xml:space="preserve">Human Gate не е одбивање. </w:t>
            </w:r>
            <w:r>
              <w:t>AI Advokat може да организира, најде, поврзе и подготви работен материјал. Финалната професионална проценка, потпишување, поднесување или процесна одлука остануваат човечки.</w:t>
            </w:r>
          </w:p>
        </w:tc>
      </w:tr>
    </w:tbl>
    <w:p/>
    <w:p>
      <w:pPr>
        <w:pStyle w:val="Heading1"/>
      </w:pPr>
      <w:r>
        <w:t>9. Release protocol</w:t>
      </w:r>
    </w:p>
    <w:p>
      <w:pPr>
        <w:pStyle w:val="ListNumber"/>
      </w:pPr>
      <w:r>
        <w:t>Проверен извор и exact source hash.</w:t>
      </w:r>
    </w:p>
    <w:p>
      <w:pPr>
        <w:pStyle w:val="ListNumber"/>
      </w:pPr>
      <w:r>
        <w:t>Проверена покриеност на сите 570 записи.</w:t>
      </w:r>
    </w:p>
    <w:p>
      <w:pPr>
        <w:pStyle w:val="ListNumber"/>
      </w:pPr>
      <w:r>
        <w:t>Одвоен законски и авторски слој.</w:t>
      </w:r>
    </w:p>
    <w:p>
      <w:pPr>
        <w:pStyle w:val="ListNumber"/>
      </w:pPr>
      <w:r>
        <w:t>Human Gate approval за release.</w:t>
      </w:r>
    </w:p>
    <w:p>
      <w:pPr>
        <w:pStyle w:val="ListNumber"/>
      </w:pPr>
      <w:r>
        <w:t>D1 read-back со точен број записи и unique articles.</w:t>
      </w:r>
    </w:p>
    <w:p>
      <w:pPr>
        <w:pStyle w:val="ListNumber"/>
      </w:pPr>
      <w:r>
        <w:t>Production deploy и live smoke.</w:t>
      </w:r>
    </w:p>
    <w:p>
      <w:r>
        <w:t>Овој документ ја опишува методологијата; самото постоење на водичот не е доказ дека конкретен production release е активен.</w:t>
      </w:r>
    </w:p>
    <w:p>
      <w:pPr>
        <w:pStyle w:val="Heading1"/>
      </w:pPr>
      <w:r>
        <w:t>10. Nenad Lex Nova Academy</w:t>
      </w:r>
    </w:p>
    <w:p>
      <w:r>
        <w:t>Водичот е основа за програмата „Практична кривична постапка со AI Advokat“: најди го членот, разликувај закон од коментар, работи по процесна фаза, поврзи релевантни одредби и препознај кога е задолжителен Human Gate.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0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C20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