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985B"/>
          <w:sz w:val="22"/>
        </w:rPr>
        <w:t>AI ADVOKAT</w:t>
      </w:r>
    </w:p>
    <w:p>
      <w:pPr>
        <w:pStyle w:val="Title"/>
        <w:jc w:val="center"/>
      </w:pPr>
      <w:r>
        <w:t>ZKP Commentary v6 — Portal Integration</w:t>
      </w:r>
    </w:p>
    <w:p>
      <w:pPr>
        <w:jc w:val="center"/>
      </w:pPr>
      <w:r>
        <w:rPr>
          <w:i/>
          <w:color w:val="58687A"/>
          <w:sz w:val="22"/>
        </w:rPr>
        <w:t>Governed secondary professional layer · 19.10.2026</w:t>
      </w:r>
    </w:p>
    <w:p>
      <w:pPr>
        <w:jc w:val="center"/>
      </w:pPr>
      <w:r>
        <w:rPr>
          <w:b/>
          <w:sz w:val="20"/>
        </w:rPr>
        <w:t>AI Advokat · 2026</w:t>
      </w:r>
    </w:p>
    <w:p/>
    <w:p>
      <w:pPr>
        <w:pStyle w:val="Heading1"/>
      </w:pPr>
      <w:r>
        <w:t>Purpose</w:t>
      </w:r>
    </w:p>
    <w:p>
      <w:r>
        <w:t>Register the Коментар на Законот за кривичната постапка · Верзија 6 by Attorney Zoran Stojankich as a governed secondary professional layer in AI Advokat.</w:t>
      </w:r>
    </w:p>
    <w:p>
      <w:pPr>
        <w:pStyle w:val="Heading1"/>
      </w:pPr>
      <w:r>
        <w:t>Boundary</w:t>
      </w:r>
    </w:p>
    <w:p>
      <w:pPr>
        <w:pStyle w:val="ListNumber"/>
      </w:pPr>
      <w:r>
        <w:t>The existing governed ZKP statutory corpus remains the controlling law layer.</w:t>
      </w:r>
    </w:p>
    <w:p>
      <w:pPr>
        <w:pStyle w:val="ListNumber"/>
      </w:pPr>
      <w:r>
        <w:t>The Commentary is authorial analysis, not a primary legal source.</w:t>
      </w:r>
    </w:p>
    <w:p>
      <w:pPr>
        <w:pStyle w:val="ListNumber"/>
      </w:pPr>
      <w:r>
        <w:t>AI retrieval order is: statutory article → attributed commentary → separately verified case law → labelled AI synthesis.</w:t>
      </w:r>
    </w:p>
    <w:p>
      <w:pPr>
        <w:pStyle w:val="ListNumber"/>
      </w:pPr>
      <w:r>
        <w:t>Professional reliance remains subject to Human Gate.</w:t>
      </w:r>
    </w:p>
    <w:p>
      <w:pPr>
        <w:pStyle w:val="ListNumber"/>
      </w:pPr>
      <w:r>
        <w:t>Canonical brand is AI Advokat / АИ АДВОКАТ. The generation suffix “4” is removed by the normalisation script.</w:t>
      </w:r>
    </w:p>
    <w:p>
      <w:pPr>
        <w:pStyle w:val="Heading1"/>
      </w:pPr>
      <w:r>
        <w:t>Delivered source identity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040"/>
            <w:shd w:fill="0C2038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DOCX SHA-256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834e9d6fea81cd3c8b3f4fb30bb76186dc199680f60b464a3b9a82457560a3dd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JSONL SHA-256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5a6a691cf616599c1648ab9749a34d388f7c4b5fea8b49ecfd3b4f409903c363</w:t>
            </w:r>
          </w:p>
        </w:tc>
      </w:tr>
      <w:tr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JSONL records</w:t>
            </w:r>
          </w:p>
        </w:tc>
        <w:tc>
          <w:tcPr>
            <w:tcW w:type="dxa" w:w="5040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t>570</w:t>
            </w:r>
          </w:p>
        </w:tc>
      </w:tr>
    </w:tbl>
    <w:p/>
    <w:p>
      <w:pPr>
        <w:pStyle w:val="Heading1"/>
        <w:pageBreakBefore/>
      </w:pPr>
      <w:r>
        <w:t>Portal state in this change</w:t>
      </w:r>
    </w:p>
    <w:p>
      <w:pPr>
        <w:pStyle w:val="ListBullet"/>
      </w:pPr>
      <w:r>
        <w:t>Registered in data/professional-library.json.</w:t>
      </w:r>
    </w:p>
    <w:p>
      <w:pPr>
        <w:pStyle w:val="ListBullet"/>
      </w:pPr>
      <w:r>
        <w:t>Registered in publication governance and the professional legal corpus.</w:t>
      </w:r>
    </w:p>
    <w:p>
      <w:pPr>
        <w:pStyle w:val="ListBullet"/>
      </w:pPr>
      <w:r>
        <w:t>Added a machine-readable manifest.</w:t>
      </w:r>
    </w:p>
    <w:p>
      <w:pPr>
        <w:pStyle w:val="ListBullet"/>
      </w:pPr>
      <w:r>
        <w:t>Added central-prompt source-separation rules.</w:t>
      </w:r>
    </w:p>
    <w:p>
      <w:pPr>
        <w:pStyle w:val="ListBullet"/>
      </w:pPr>
      <w:r>
        <w:t>Production RAG write remains fail-closed until a separate import Human Gate and read-back verification.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C20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C20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C203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