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985B"/>
          <w:sz w:val="22"/>
        </w:rPr>
        <w:t>AI ADVOKAT</w:t>
      </w:r>
    </w:p>
    <w:p>
      <w:pPr>
        <w:pStyle w:val="Title"/>
        <w:jc w:val="center"/>
      </w:pPr>
      <w:r>
        <w:t>ЗКП Quick Start v2.0</w:t>
      </w:r>
    </w:p>
    <w:p>
      <w:pPr>
        <w:jc w:val="center"/>
      </w:pPr>
      <w:r>
        <w:rPr>
          <w:i/>
          <w:color w:val="58687A"/>
          <w:sz w:val="22"/>
        </w:rPr>
        <w:t>Практичен почеток за прашања во AI Advokat</w:t>
      </w:r>
    </w:p>
    <w:p>
      <w:pPr>
        <w:jc w:val="center"/>
      </w:pPr>
      <w:r>
        <w:rPr>
          <w:b/>
          <w:sz w:val="20"/>
        </w:rPr>
        <w:t>Адвокат Зоран Стојанкиќ ·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F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vAlign w:val="center"/>
          </w:tcPr>
          <w:p>
            <w:r>
              <w:rPr>
                <w:b/>
              </w:rPr>
              <w:t xml:space="preserve">Формула за добро прашање: </w:t>
            </w:r>
            <w:r>
              <w:t>ФАЗА + СУБЈЕКТ + ШТО СЕ СЛУЧИЛО + ШТО САКАТЕ ДА ПОСТИГНЕТЕ.</w:t>
            </w:r>
          </w:p>
        </w:tc>
      </w:tr>
    </w:tbl>
    <w:p/>
    <w:p>
      <w:pPr>
        <w:pStyle w:val="Heading1"/>
      </w:pPr>
      <w:r>
        <w:t>Што треба да добиете</w:t>
      </w:r>
    </w:p>
    <w:p>
      <w:pPr>
        <w:pStyle w:val="ListNumber"/>
      </w:pPr>
      <w:r>
        <w:t>Релевантен член/членови.</w:t>
      </w:r>
    </w:p>
    <w:p>
      <w:pPr>
        <w:pStyle w:val="ListNumber"/>
      </w:pPr>
      <w:r>
        <w:t>Законски слој — одвоен од коментарот.</w:t>
      </w:r>
    </w:p>
    <w:p>
      <w:pPr>
        <w:pStyle w:val="ListNumber"/>
      </w:pPr>
      <w:r>
        <w:t>Авторски коментар на Зоран Стојанкиќ.</w:t>
      </w:r>
    </w:p>
    <w:p>
      <w:pPr>
        <w:pStyle w:val="ListNumber"/>
      </w:pPr>
      <w:r>
        <w:t>Практична примена, ризици и поврзани членови.</w:t>
      </w:r>
    </w:p>
    <w:p>
      <w:pPr>
        <w:pStyle w:val="ListNumber"/>
      </w:pPr>
      <w:r>
        <w:t>Работна формулација кога е соодветно.</w:t>
      </w:r>
    </w:p>
    <w:p>
      <w:pPr>
        <w:pStyle w:val="ListNumber"/>
      </w:pPr>
      <w:r>
        <w:t>Јасна Human Gate напомена.</w:t>
      </w:r>
    </w:p>
    <w:p>
      <w:pPr>
        <w:pStyle w:val="Heading1"/>
      </w:pPr>
      <w:r>
        <w:t>Канонска хиерархија</w:t>
      </w:r>
    </w:p>
    <w:p>
      <w:r>
        <w:t>Закон/официјален извор → судска практика → Коментар на ЗКП → практични водичи → AI синтеза → Human Gate.</w:t>
      </w:r>
    </w:p>
    <w:p>
      <w:pPr>
        <w:pStyle w:val="Heading1"/>
      </w:pPr>
      <w:r>
        <w:t>Важно</w:t>
      </w:r>
    </w:p>
    <w:p>
      <w:r>
        <w:t>AI-помошта не ја заменува проверката на важечката верзија на законот, роковите, списите и професионалната проценка.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C20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C20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C20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