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985B"/>
          <w:sz w:val="22"/>
        </w:rPr>
        <w:t>AI ADVOKAT</w:t>
      </w:r>
    </w:p>
    <w:p>
      <w:pPr>
        <w:pStyle w:val="Title"/>
        <w:jc w:val="center"/>
      </w:pPr>
      <w:r>
        <w:t>ZKP Schema Notes v2.0</w:t>
      </w:r>
    </w:p>
    <w:p>
      <w:pPr>
        <w:jc w:val="center"/>
      </w:pPr>
      <w:r>
        <w:rPr>
          <w:i/>
          <w:color w:val="58687A"/>
          <w:sz w:val="22"/>
        </w:rPr>
        <w:t>Техничка картичка на 570-записниот корпус</w:t>
      </w:r>
    </w:p>
    <w:p>
      <w:pPr>
        <w:jc w:val="center"/>
      </w:pPr>
      <w:r>
        <w:rPr>
          <w:b/>
          <w:sz w:val="20"/>
        </w:rPr>
        <w:t>AI Advokat ·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504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Вредност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Records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570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Unique articles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570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Coverage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1-568 + 267-а + 567-а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Enriched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542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Missing enrichment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1-26, 267-а, 567-а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Risk distribution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very_high 215; high 235; medium 92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law_text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570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commentary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570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practice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567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formulations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377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related_provisions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544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related_articles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538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knowledge_role / primary_law_dependency / brand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570 / 570 / 570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Original source SHA-256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5a6a691cf616599c1648ab9749a34d388f7c4b5fea8b49ecfd3b4f409903c363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Brand-clean SHA-256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d933779ef07d3f6a21e1a2e3593d79610707ce8b06439bbbda005ea3bfa3d860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9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</w:rPr>
              <w:t xml:space="preserve">Authority model: </w:t>
            </w:r>
            <w:r>
              <w:t>Primary law first; commentary is authorial secondary material; Human Gate required for professional use.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20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C20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C20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