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293B"/>
        </w:rPr>
        <w:t>Conversion Fidelity Test: All Formatting Features</w:t>
      </w:r>
    </w:p>
    <w:p>
      <w:r>
        <w:rPr>
          <w:rFonts w:ascii="Calibri" w:hAnsi="Calibri"/>
          <w:b w:val="0"/>
          <w:i/>
          <w:color w:val="222222"/>
          <w:sz w:val="22"/>
        </w:rPr>
        <w:t>Test Dataset | 2026-04-03 | Formatting Verification</w:t>
      </w:r>
    </w:p>
    <w:p>
      <w:r>
        <w:rPr>
          <w:rFonts w:ascii="Calibri" w:hAnsi="Calibri"/>
          <w:b w:val="0"/>
          <w:i w:val="0"/>
          <w:color w:val="222222"/>
          <w:sz w:val="22"/>
        </w:rPr>
        <w:t>Test Author | 2026-04-03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 w:val="clear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22"/>
              </w:rPr>
              <w:t>Analysis Confidence: B+ (85/100)</w:t>
            </w:r>
          </w:p>
        </w:tc>
      </w:tr>
    </w:tbl>
    <w:p>
      <w:r>
        <w:rPr>
          <w:rFonts w:ascii="Calibri" w:hAnsi="Calibri"/>
          <w:b w:val="0"/>
          <w:i/>
          <w:color w:val="666666"/>
          <w:sz w:val="20"/>
        </w:rPr>
        <w:t>Treat as directional — test data only.</w:t>
      </w:r>
    </w:p>
    <w:p/>
    <w:p>
      <w:pPr>
        <w:pStyle w:val="Heading2"/>
      </w:pPr>
      <w:r>
        <w:rPr>
          <w:color w:val="1E293B"/>
        </w:rPr>
        <w:t>Context</w:t>
      </w:r>
    </w:p>
    <w:p>
      <w:r>
        <w:rPr>
          <w:rFonts w:ascii="Calibri" w:hAnsi="Calibri"/>
          <w:b w:val="0"/>
          <w:i w:val="0"/>
          <w:color w:val="222222"/>
          <w:sz w:val="22"/>
        </w:rPr>
        <w:t>This document tests every formatting feature used by gdoc_builder.build_readout(). Upload it to Google Drive with convert_to_google_doc=True and check each feature against the manual test checklist in the script header.</w:t>
      </w:r>
    </w:p>
    <w:p>
      <w:pPr>
        <w:pStyle w:val="Heading2"/>
      </w:pPr>
      <w:r>
        <w:rPr>
          <w:color w:val="1E293B"/>
        </w:rPr>
        <w:t>Summary</w:t>
      </w:r>
    </w:p>
    <w:p>
      <w:pPr>
        <w:pStyle w:val="Heading3"/>
      </w:pPr>
      <w:r>
        <w:rPr>
          <w:color w:val="1E293B"/>
        </w:rPr>
        <w:t>Primary Learnings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Bold labels are auto-detected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The builder detects known label prefixes and applies bold styling automatically. </w:t>
      </w:r>
      <w:hyperlink w:anchor="finding-1">
        <w:r>
          <w:rPr>
            <w:color w:val="1155CC"/>
            <w:u w:val="single"/>
          </w:rPr>
          <w:t xml:space="preserve">&gt;&gt; See Finding 1</w:t>
        </w:r>
      </w:hyperlink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Bookmark links connect Summary to Analysis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The &gt;&gt; links in Primary Learnings should jump to the corresponding Finding heading. </w:t>
      </w:r>
      <w:hyperlink w:anchor="finding-2">
        <w:r>
          <w:rPr>
            <w:color w:val="1155CC"/>
            <w:u w:val="single"/>
          </w:rPr>
          <w:t xml:space="preserve">&gt;&gt; See Finding 2</w:t>
        </w:r>
      </w:hyperlink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Missing chart shows placeholder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When a chart path doesn't exist, a placeholder message appears. </w:t>
      </w:r>
      <w:hyperlink w:anchor="finding-3">
        <w:r>
          <w:rPr>
            <w:color w:val="1155CC"/>
            <w:u w:val="single"/>
          </w:rPr>
          <w:t xml:space="preserve">&gt;&gt; See Finding 3</w:t>
        </w:r>
      </w:hyperlink>
    </w:p>
    <w:p>
      <w:pPr>
        <w:pStyle w:val="Heading3"/>
      </w:pPr>
      <w:r>
        <w:rPr>
          <w:color w:val="1E293B"/>
        </w:rPr>
        <w:t>Recommendations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Verify heading hierarchy in doc outline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H1-H4 should appear in the Google Doc outline sidebar. Confidence: High.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Check bookmark link navigation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&gt;&gt; links should jump to the correct finding. Confidence: Medium.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Verify SQL formatting survives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Gray background and monospace font should persist. Confidence: Low.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Analysis</w:t>
      </w:r>
    </w:p>
    <w:p>
      <w:pPr>
        <w:pStyle w:val="Heading3"/>
      </w:pPr>
      <w:r>
        <w:rPr>
          <w:color w:val="1E293B"/>
        </w:rPr>
        <w:t>Finding 1: Bold labels are auto-detected</w:t>
      </w:r>
      <w:bookmarkStart w:id="42784489" w:name="finding-1"/>
      <w:bookmarkEnd w:id="4278448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r/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[1.2M rows | Jan-Mar 2026 | CHECKOUT_EVENTS | Confidence: B+ (85/100)]</w:t>
            </w:r>
          </w:p>
        </w:tc>
      </w:tr>
    </w:tbl>
    <w:p>
      <w:r>
        <w:rPr>
          <w:rFonts w:ascii="Calibri" w:hAnsi="Calibri"/>
          <w:b w:val="0"/>
          <w:i w:val="0"/>
          <w:color w:val="222222"/>
          <w:sz w:val="22"/>
        </w:rPr>
        <w:t>The builder detects known label prefixes and applies bold styling automatically.</w:t>
      </w:r>
    </w:p>
    <w:p>
      <w:pPr>
        <w:pStyle w:val="Heading4"/>
      </w:pPr>
      <w:r>
        <w:rPr>
          <w:color w:val="1E293B"/>
        </w:rPr>
        <w:t>Sub-finding with chart</w:t>
      </w:r>
    </w:p>
    <w:p>
      <w:r>
        <w:rPr>
          <w:rFonts w:ascii="Calibri" w:hAnsi="Calibri"/>
          <w:b/>
          <w:i w:val="0"/>
          <w:color w:val="222222"/>
          <w:sz w:val="22"/>
        </w:rPr>
        <w:t>The Insight:</w:t>
      </w:r>
      <w:r>
        <w:rPr>
          <w:rFonts w:ascii="Calibri" w:hAnsi="Calibri"/>
          <w:b w:val="0"/>
          <w:i w:val="0"/>
          <w:color w:val="222222"/>
          <w:sz w:val="22"/>
        </w:rPr>
        <w:t xml:space="preserve"> This paragraph starts with a known bold label prefix. The label should be bold, the rest regular weight.</w:t>
      </w:r>
    </w:p>
    <w:p>
      <w:r>
        <w:rPr>
          <w:rFonts w:ascii="Calibri" w:hAnsi="Calibri"/>
          <w:b/>
          <w:i w:val="0"/>
          <w:color w:val="222222"/>
          <w:sz w:val="22"/>
        </w:rPr>
        <w:t>Why this matters for product:</w:t>
      </w:r>
      <w:r>
        <w:rPr>
          <w:rFonts w:ascii="Calibri" w:hAnsi="Calibri"/>
          <w:b w:val="0"/>
          <w:i w:val="0"/>
          <w:color w:val="222222"/>
          <w:sz w:val="22"/>
        </w:rPr>
        <w:t xml:space="preserve"> Another bold label test. If this renders with just the label bold, the detection 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Figure 1: Mobile Checkout Conversion Rate by Month.</w:t>
      </w:r>
    </w:p>
    <w:p>
      <w:pPr>
        <w:pStyle w:val="Heading4"/>
      </w:pPr>
      <w:r>
        <w:rPr>
          <w:color w:val="1E293B"/>
        </w:rPr>
        <w:t>Sub-finding without chart</w:t>
      </w:r>
    </w:p>
    <w:p>
      <w:r>
        <w:rPr>
          <w:rFonts w:ascii="Calibri" w:hAnsi="Calibri"/>
          <w:b/>
          <w:i w:val="0"/>
          <w:color w:val="222222"/>
          <w:sz w:val="22"/>
        </w:rPr>
        <w:t>Bottom line:</w:t>
      </w:r>
      <w:r>
        <w:rPr>
          <w:rFonts w:ascii="Calibri" w:hAnsi="Calibri"/>
          <w:b w:val="0"/>
          <w:i w:val="0"/>
          <w:color w:val="222222"/>
          <w:sz w:val="22"/>
        </w:rPr>
        <w:t xml:space="preserve"> This tests a third bold label. The text after the colon should be regular weight.</w:t>
      </w:r>
    </w:p>
    <w:p>
      <w:r>
        <w:rPr>
          <w:rFonts w:ascii="Calibri" w:hAnsi="Calibri"/>
          <w:b w:val="0"/>
          <w:i w:val="0"/>
          <w:color w:val="222222"/>
          <w:sz w:val="22"/>
        </w:rPr>
        <w:t>This paragraph has no bold label — it should render entirely in regular weight body text.</w:t>
      </w:r>
    </w:p>
    <w:p>
      <w:pPr>
        <w:pStyle w:val="Heading4"/>
      </w:pPr>
      <w:r>
        <w:rPr>
          <w:color w:val="666666"/>
        </w:rPr>
        <w:t>Methodology &amp; SQL</w:t>
      </w:r>
    </w:p>
    <w:p>
      <w:r>
        <w:rPr>
          <w:rFonts w:ascii="Calibri" w:hAnsi="Calibri"/>
          <w:b w:val="0"/>
          <w:i/>
          <w:color w:val="222222"/>
          <w:sz w:val="20"/>
        </w:rPr>
        <w:t>Approach: segmented comparison of mobile vs desktop checkout funnels. Aggregation: COUNT DISTINCT user_id by step and device. Filters: date &gt;= '2026-01-01', status IN ('completed', 'abandoned'). Date handling: monthly granularity,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r/>
            <w:r>
              <w:rPr>
                <w:rFonts w:ascii="Courier New" w:hAnsi="Courier New"/>
                <w:b w:val="0"/>
                <w:i w:val="0"/>
                <w:color w:val="222222"/>
                <w:sz w:val="18"/>
              </w:rPr>
              <w:t>SELECT</w:t>
              <w:br/>
              <w:t xml:space="preserve">  device_type,</w:t>
              <w:br/>
              <w:t xml:space="preserve">  step_name,</w:t>
              <w:br/>
              <w:t xml:space="preserve">  COUNT(DISTINCT user_id) AS users</w:t>
              <w:br/>
              <w:t>FROM checkout_events</w:t>
              <w:br/>
              <w:t>WHERE event_date &gt;= '2026-01-01'</w:t>
              <w:br/>
              <w:t xml:space="preserve">  AND status IN ('completed', 'abandoned')</w:t>
              <w:br/>
              <w:t>GROUP BY device_type, step_name</w:t>
              <w:br/>
              <w:t>ORDER BY device_type, step_name</w:t>
            </w:r>
          </w:p>
        </w:tc>
      </w:tr>
    </w:tbl>
    <w:p>
      <w:r>
        <w:rPr>
          <w:rFonts w:ascii="Calibri" w:hAnsi="Calibri"/>
          <w:b/>
          <w:i/>
          <w:color w:val="666666"/>
          <w:sz w:val="18"/>
        </w:rPr>
        <w:t xml:space="preserve">Cross-verification: </w:t>
      </w:r>
      <w:r>
        <w:rPr>
          <w:rFonts w:ascii="Calibri" w:hAnsi="Calibri"/>
          <w:b w:val="0"/>
          <w:i/>
          <w:color w:val="666666"/>
          <w:sz w:val="18"/>
        </w:rPr>
        <w:t>Type B: Parts-to-whole — PASS (Within 0.30% tolerance)</w:t>
      </w:r>
    </w:p>
    <w:p/>
    <w:p>
      <w:pPr>
        <w:pStyle w:val="Heading3"/>
      </w:pPr>
      <w:r>
        <w:rPr>
          <w:color w:val="1E293B"/>
        </w:rPr>
        <w:t>Finding 2: Bookmark links connect Summary to Analysis</w:t>
      </w:r>
      <w:bookmarkStart w:id="40521315" w:name="finding-2"/>
      <w:bookmarkEnd w:id="4052131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r/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[340K rows | Jan-Mar 2026 | FUNNEL_EVENTS | Confidence: B+ (85/100)]</w:t>
            </w:r>
          </w:p>
        </w:tc>
      </w:tr>
    </w:tbl>
    <w:p>
      <w:r>
        <w:rPr>
          <w:rFonts w:ascii="Calibri" w:hAnsi="Calibri"/>
          <w:b w:val="0"/>
          <w:i w:val="0"/>
          <w:color w:val="222222"/>
          <w:sz w:val="22"/>
        </w:rPr>
        <w:t>The &gt;&gt; links in Primary Learnings should jump to the corresponding Finding heading.</w:t>
      </w:r>
    </w:p>
    <w:p>
      <w:pPr>
        <w:pStyle w:val="Heading4"/>
      </w:pPr>
      <w:r>
        <w:rPr>
          <w:color w:val="1E293B"/>
        </w:rPr>
        <w:t>Link target verification</w:t>
      </w:r>
    </w:p>
    <w:p>
      <w:r>
        <w:rPr>
          <w:rFonts w:ascii="Calibri" w:hAnsi="Calibri"/>
          <w:b w:val="0"/>
          <w:i w:val="0"/>
          <w:color w:val="222222"/>
          <w:sz w:val="22"/>
        </w:rPr>
        <w:t>If you clicked '&gt;&gt; See Finding 2' in the Summary section, you should have landed here. This tests internal bookmark navigation.</w:t>
      </w:r>
    </w:p>
    <w:p>
      <w:pPr>
        <w:pStyle w:val="Heading4"/>
      </w:pPr>
      <w:r>
        <w:rPr>
          <w:color w:val="666666"/>
        </w:rPr>
        <w:t>Methodology &amp; SQL</w:t>
      </w:r>
    </w:p>
    <w:p>
      <w:r>
        <w:rPr>
          <w:rFonts w:ascii="Calibri" w:hAnsi="Calibri"/>
          <w:b w:val="0"/>
          <w:i/>
          <w:color w:val="222222"/>
          <w:sz w:val="20"/>
        </w:rPr>
        <w:t>Approach: bookmark navigation verification. No SQL required.</w:t>
      </w:r>
    </w:p>
    <w:p>
      <w:r>
        <w:rPr>
          <w:rFonts w:ascii="Calibri" w:hAnsi="Calibri"/>
          <w:b/>
          <w:i/>
          <w:color w:val="666666"/>
          <w:sz w:val="18"/>
        </w:rPr>
        <w:t xml:space="preserve">Cross-verification: </w:t>
      </w:r>
      <w:r>
        <w:rPr>
          <w:rFonts w:ascii="Calibri" w:hAnsi="Calibri"/>
          <w:b w:val="0"/>
          <w:i/>
          <w:color w:val="666666"/>
          <w:sz w:val="18"/>
        </w:rPr>
        <w:t>Type A: Boundary check — PASS (3 checks passed)</w:t>
      </w:r>
    </w:p>
    <w:p/>
    <w:p>
      <w:pPr>
        <w:pStyle w:val="Heading3"/>
      </w:pPr>
      <w:r>
        <w:rPr>
          <w:color w:val="1E293B"/>
        </w:rPr>
        <w:t>Finding 3: Missing chart shows placeholder</w:t>
      </w:r>
      <w:bookmarkStart w:id="5440364" w:name="finding-3"/>
      <w:bookmarkEnd w:id="5440364"/>
    </w:p>
    <w:p>
      <w:r>
        <w:rPr>
          <w:rFonts w:ascii="Calibri" w:hAnsi="Calibri"/>
          <w:b w:val="0"/>
          <w:i w:val="0"/>
          <w:color w:val="222222"/>
          <w:sz w:val="22"/>
        </w:rPr>
        <w:t>When a chart path doesn't exist, a placeholder message appears.</w:t>
      </w:r>
    </w:p>
    <w:p>
      <w:pPr>
        <w:pStyle w:val="Heading4"/>
      </w:pPr>
      <w:r>
        <w:rPr>
          <w:color w:val="1E293B"/>
        </w:rPr>
        <w:t>Missing chart test</w:t>
      </w:r>
    </w:p>
    <w:p>
      <w:r>
        <w:rPr>
          <w:rFonts w:ascii="Calibri" w:hAnsi="Calibri"/>
          <w:b w:val="0"/>
          <w:i w:val="0"/>
          <w:color w:val="222222"/>
          <w:sz w:val="22"/>
        </w:rPr>
        <w:t>This sub-finding references a chart that does not exist.</w:t>
      </w:r>
    </w:p>
    <w:p>
      <w:r>
        <w:rPr>
          <w:rFonts w:ascii="Calibri" w:hAnsi="Calibri"/>
          <w:b w:val="0"/>
          <w:i/>
          <w:color w:val="222222"/>
          <w:sz w:val="22"/>
        </w:rPr>
        <w:t>[Chart: missing_chart.png — file not found]</w:t>
      </w:r>
    </w:p>
    <w:p/>
    <w:p>
      <w:pPr>
        <w:pStyle w:val="Heading3"/>
      </w:pPr>
      <w:r>
        <w:rPr>
          <w:color w:val="1E293B"/>
        </w:rPr>
        <w:t>Synthesis</w:t>
      </w:r>
    </w:p>
    <w:p>
      <w:r>
        <w:rPr>
          <w:rFonts w:ascii="Calibri" w:hAnsi="Calibri"/>
          <w:b w:val="0"/>
          <w:i w:val="0"/>
          <w:color w:val="222222"/>
          <w:sz w:val="22"/>
        </w:rPr>
        <w:t>All formatting features should render correctly in the converted Google Doc. Any feature that does not survive conversion should be documented in the test results.</w:t>
      </w:r>
    </w:p>
    <w:p>
      <w:r>
        <w:rPr>
          <w:rFonts w:ascii="Calibri" w:hAnsi="Calibri"/>
          <w:b w:val="0"/>
          <w:i/>
          <w:color w:val="222222"/>
          <w:sz w:val="22"/>
        </w:rPr>
        <w:t>This analysis carries B+ confidence (85/100). Treat as directional — test data only.</w:t>
      </w:r>
    </w:p>
    <w:p>
      <w:pPr>
        <w:pStyle w:val="Heading3"/>
      </w:pPr>
      <w:r>
        <w:rPr>
          <w:color w:val="1E293B"/>
        </w:rPr>
        <w:t>Implications</w:t>
      </w:r>
    </w:p>
    <w:p>
      <w:r>
        <w:rPr>
          <w:rFonts w:ascii="Calibri" w:hAnsi="Calibri"/>
          <w:b w:val="0"/>
          <w:i w:val="0"/>
          <w:color w:val="222222"/>
          <w:sz w:val="22"/>
        </w:rPr>
        <w:t>Features that do not survive .docx-to-Google-Docs conversion will need alternative approaches (text references instead of hyperlinks, plain code blocks instead of shaded cells, etc.).</w:t>
      </w:r>
    </w:p>
    <w:p>
      <w:r>
        <w:br w:type="page"/>
      </w:r>
    </w:p>
    <w:p>
      <w:pPr>
        <w:pStyle w:val="Heading2"/>
      </w:pPr>
      <w:r>
        <w:rPr>
          <w:color w:val="1E293B"/>
        </w:rPr>
        <w:t>Next Steps</w:t>
      </w:r>
    </w:p>
    <w:p>
      <w:pPr>
        <w:pStyle w:val="Heading3"/>
      </w:pPr>
      <w:r>
        <w:rPr>
          <w:color w:val="1E293B"/>
        </w:rPr>
        <w:t>Recommended Actions</w:t>
      </w:r>
    </w:p>
    <w:p>
      <w:r>
        <w:rPr>
          <w:rFonts w:ascii="Calibri" w:hAnsi="Calibri"/>
          <w:b w:val="0"/>
          <w:i w:val="0"/>
          <w:color w:val="222222"/>
          <w:sz w:val="22"/>
        </w:rPr>
        <w:t>1. Upload this .docx to Google Drive</w:t>
      </w:r>
    </w:p>
    <w:p>
      <w:r>
        <w:rPr>
          <w:rFonts w:ascii="Calibri" w:hAnsi="Calibri"/>
          <w:b w:val="0"/>
          <w:i w:val="0"/>
          <w:color w:val="222222"/>
          <w:sz w:val="22"/>
        </w:rPr>
        <w:t>2. Open as Google Doc</w:t>
      </w:r>
    </w:p>
    <w:p>
      <w:r>
        <w:rPr>
          <w:rFonts w:ascii="Calibri" w:hAnsi="Calibri"/>
          <w:b w:val="0"/>
          <w:i w:val="0"/>
          <w:color w:val="222222"/>
          <w:sz w:val="22"/>
        </w:rPr>
        <w:t>3. Check each item in the manual test checklist</w:t>
      </w:r>
    </w:p>
    <w:p>
      <w:pPr>
        <w:pStyle w:val="Heading3"/>
      </w:pPr>
      <w:r>
        <w:rPr>
          <w:color w:val="1E293B"/>
        </w:rPr>
        <w:t>Success Tracking</w:t>
      </w:r>
    </w:p>
    <w:p>
      <w:r>
        <w:rPr>
          <w:rFonts w:ascii="Calibri" w:hAnsi="Calibri"/>
          <w:b/>
          <w:i w:val="0"/>
          <w:color w:val="222222"/>
          <w:sz w:val="22"/>
        </w:rPr>
        <w:t>Metric: Formatting features surviving conversion</w:t>
      </w:r>
    </w:p>
    <w:p>
      <w:r>
        <w:rPr>
          <w:rFonts w:ascii="Calibri" w:hAnsi="Calibri"/>
          <w:b w:val="0"/>
          <w:i w:val="0"/>
          <w:color w:val="222222"/>
          <w:sz w:val="22"/>
        </w:rPr>
        <w:t>Baseline: Unknown</w:t>
      </w:r>
    </w:p>
    <w:p>
      <w:r>
        <w:rPr>
          <w:rFonts w:ascii="Calibri" w:hAnsi="Calibri"/>
          <w:b w:val="0"/>
          <w:i w:val="0"/>
          <w:color w:val="222222"/>
          <w:sz w:val="22"/>
        </w:rPr>
        <w:t>Target: All 14 features pass</w:t>
      </w:r>
    </w:p>
    <w:p>
      <w:r>
        <w:rPr>
          <w:rFonts w:ascii="Calibri" w:hAnsi="Calibri"/>
          <w:b w:val="0"/>
          <w:i w:val="0"/>
          <w:color w:val="222222"/>
          <w:sz w:val="22"/>
        </w:rPr>
        <w:t>Check-in: After first upload test</w:t>
      </w:r>
    </w:p>
    <w:p>
      <w:pPr>
        <w:pStyle w:val="Heading3"/>
      </w:pPr>
      <w:r>
        <w:rPr>
          <w:color w:val="1E293B"/>
        </w:rPr>
        <w:t>Open Questions</w:t>
      </w:r>
    </w:p>
    <w:p>
      <w:r>
        <w:rPr>
          <w:rFonts w:ascii="Calibri" w:hAnsi="Calibri"/>
          <w:b w:val="0"/>
          <w:i w:val="0"/>
          <w:color w:val="222222"/>
          <w:sz w:val="22"/>
        </w:rPr>
        <w:t>Do python-docx bookmarks survive .docx → Google Docs conversion?</w:t>
      </w:r>
    </w:p>
    <w:p>
      <w:r>
        <w:rPr>
          <w:rFonts w:ascii="Calibri" w:hAnsi="Calibri"/>
          <w:b w:val="0"/>
          <w:i w:val="0"/>
          <w:color w:val="222222"/>
          <w:sz w:val="22"/>
        </w:rPr>
        <w:t>Does gray table cell shading survive conversion?</w:t>
      </w:r>
    </w:p>
    <w:p>
      <w:r>
        <w:rPr>
          <w:rFonts w:ascii="Calibri" w:hAnsi="Calibri"/>
          <w:b w:val="0"/>
          <w:i w:val="0"/>
          <w:color w:val="222222"/>
          <w:sz w:val="22"/>
        </w:rPr>
        <w:t>Do page breaks become section breaks or just spacing?</w:t>
      </w:r>
    </w:p>
    <w:p>
      <w:r>
        <w:br w:type="page"/>
      </w:r>
    </w:p>
    <w:p>
      <w:pPr>
        <w:pStyle w:val="Heading2"/>
      </w:pPr>
      <w:r>
        <w:rPr>
          <w:color w:val="1E293B"/>
        </w:rPr>
        <w:t>Resources</w:t>
      </w:r>
    </w:p>
    <w:p>
      <w:pPr>
        <w:pStyle w:val="Heading3"/>
      </w:pPr>
      <w:r>
        <w:rPr>
          <w:color w:val="1E293B"/>
        </w:rPr>
        <w:t>Additional Queries</w:t>
      </w:r>
    </w:p>
    <w:p>
      <w:pPr>
        <w:pStyle w:val="Heading4"/>
      </w:pPr>
      <w:r>
        <w:rPr>
          <w:color w:val="1E293B"/>
        </w:rPr>
        <w:t>Query 1: Sample Funnel Query</w:t>
      </w:r>
      <w:bookmarkStart w:id="36745875" w:name="query-1"/>
      <w:bookmarkEnd w:id="36745875"/>
    </w:p>
    <w:p>
      <w:r>
        <w:rPr>
          <w:rFonts w:ascii="Calibri" w:hAnsi="Calibri"/>
          <w:b/>
          <w:i w:val="0"/>
          <w:color w:val="222222"/>
          <w:sz w:val="22"/>
        </w:rPr>
        <w:t>Used in: Finding 1</w:t>
      </w:r>
    </w:p>
    <w:p>
      <w:r>
        <w:rPr>
          <w:rFonts w:ascii="Calibri" w:hAnsi="Calibri"/>
          <w:b w:val="0"/>
          <w:i w:val="0"/>
          <w:color w:val="222222"/>
          <w:sz w:val="22"/>
        </w:rPr>
        <w:t>Database: novamart.funnel_events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r/>
            <w:r>
              <w:rPr>
                <w:rFonts w:ascii="Courier New" w:hAnsi="Courier New"/>
                <w:b w:val="0"/>
                <w:i w:val="0"/>
                <w:color w:val="222222"/>
                <w:sz w:val="18"/>
              </w:rPr>
              <w:t>SELECT</w:t>
              <w:br/>
              <w:t xml:space="preserve">  step_name,</w:t>
              <w:br/>
              <w:t xml:space="preserve">  COUNT(DISTINCT user_id) AS users,</w:t>
              <w:br/>
              <w:t xml:space="preserve">  ROUND(</w:t>
              <w:br/>
              <w:t xml:space="preserve">    COUNT(DISTINCT user_id) * 100.0</w:t>
              <w:br/>
              <w:t xml:space="preserve">    / FIRST_VALUE(COUNT(DISTINCT user_id))</w:t>
              <w:br/>
              <w:t xml:space="preserve">      OVER (ORDER BY step_order),</w:t>
              <w:br/>
              <w:t xml:space="preserve">    1</w:t>
              <w:br/>
              <w:t xml:space="preserve">  ) AS pct_of_start</w:t>
              <w:br/>
              <w:t>FROM funnel_events</w:t>
              <w:br/>
              <w:t>WHERE event_date &gt;= '2026-01-01'</w:t>
              <w:br/>
              <w:t>GROUP BY step_name, step_order</w:t>
              <w:br/>
              <w:t>ORDER BY step_order;</w:t>
            </w:r>
          </w:p>
        </w:tc>
      </w:tr>
    </w:tbl>
    <w:p>
      <w:pPr>
        <w:pStyle w:val="Heading3"/>
      </w:pPr>
      <w:r>
        <w:rPr>
          <w:color w:val="1E293B"/>
        </w:rPr>
        <w:t>Companion Analyses</w:t>
      </w:r>
    </w:p>
    <w:p>
      <w:pPr>
        <w:pStyle w:val="ListBullet"/>
      </w:pPr>
      <w:r>
        <w:t>Previous checkout analysis (Dec 2025)</w:t>
      </w:r>
    </w:p>
    <w:p>
      <w:pPr>
        <w:pStyle w:val="ListBullet"/>
      </w:pPr>
      <w:r>
        <w:t>Mobile UX audit report</w:t>
      </w:r>
    </w:p>
    <w:p>
      <w:pPr>
        <w:pStyle w:val="Heading3"/>
      </w:pPr>
      <w:r>
        <w:rPr>
          <w:color w:val="1E293B"/>
        </w:rPr>
        <w:t>Data Sources</w:t>
      </w:r>
    </w:p>
    <w:p>
      <w:r>
        <w:rPr>
          <w:rFonts w:ascii="Calibri" w:hAnsi="Calibri"/>
          <w:b w:val="0"/>
          <w:i w:val="0"/>
          <w:color w:val="222222"/>
          <w:sz w:val="22"/>
        </w:rPr>
        <w:t>NovaMart production database. Tables: checkout_events, funnel_events. Date range: Jan 1 - Mar 31, 2026. 1.2M sessions, 340K unique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