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2"/>
          <w:szCs w:val="32"/>
        </w:rPr>
        <w:t xml:space="preserve">Response to the Editor and Reviewers</w:t>
      </w:r>
    </w:p>
    <w:p>
      <w:pPr>
        <w:spacing w:after="240"/>
        <w:jc w:val="center"/>
      </w:pPr>
      <w:r>
        <w:rPr>
          <w:rFonts w:ascii="Calibri" w:cs="Calibri" w:eastAsia="Calibri" w:hAnsi="Calibri"/>
          <w:color w:val="595959"/>
          <w:sz w:val="22"/>
          <w:szCs w:val="22"/>
        </w:rPr>
        <w:t xml:space="preserve">Mandatory Revisions — Point-by-Point Response</w:t>
      </w:r>
    </w:p>
    <w:p>
      <w:pPr>
        <w:spacing w:after="120" w:line="276"/>
      </w:pPr>
      <w:r>
        <w:rPr>
          <w:rFonts w:ascii="Calibri" w:cs="Calibri" w:eastAsia="Calibri" w:hAnsi="Calibri"/>
          <w:b/>
          <w:bCs/>
          <w:sz w:val="22"/>
          <w:szCs w:val="22"/>
        </w:rPr>
        <w:t xml:space="preserve">Manuscript: </w:t>
      </w:r>
      <w:r>
        <w:rPr>
          <w:rFonts w:ascii="Calibri" w:cs="Calibri" w:eastAsia="Calibri" w:hAnsi="Calibri"/>
          <w:sz w:val="22"/>
          <w:szCs w:val="22"/>
        </w:rPr>
        <w:t xml:space="preserve">Hybrid Deep Learning Using MRI Scans for Advancements of Brain Tumours Multi-Classifications</w:t>
      </w:r>
    </w:p>
    <w:p>
      <w:pPr>
        <w:spacing w:after="120" w:line="276"/>
      </w:pPr>
      <w:r>
        <w:rPr>
          <w:rFonts w:ascii="Calibri" w:cs="Calibri" w:eastAsia="Calibri" w:hAnsi="Calibri"/>
          <w:b/>
          <w:bCs/>
          <w:sz w:val="22"/>
          <w:szCs w:val="22"/>
        </w:rPr>
        <w:t xml:space="preserve">Proposed revised title: </w:t>
      </w:r>
      <w:r>
        <w:rPr>
          <w:rFonts w:ascii="Calibri" w:cs="Calibri" w:eastAsia="Calibri" w:hAnsi="Calibri"/>
          <w:sz w:val="22"/>
          <w:szCs w:val="22"/>
        </w:rPr>
        <w:t xml:space="preserve">Leakage, Redundancy and Source Shortcuts in a Widely Used Brain Tumour MRI Benchmark: A Provenance-Reconstructed, Group-Disjoint Re-evaluation of Hybrid Deep-Feature Classifiers</w:t>
      </w:r>
    </w:p>
    <w:p>
      <w:pPr>
        <w:pBdr>
          <w:bottom w:val="single" w:color="BFBFBF" w:sz="6" w:space="1"/>
        </w:pBdr>
        <w:spacing w:after="200" w:before="160"/>
      </w:pPr>
      <w:r>
        <w:rPr>
          <w:rFonts w:ascii="Calibri" w:cs="Calibri" w:eastAsia="Calibri" w:hAnsi="Calibri"/>
          <w:sz w:val="2"/>
          <w:szCs w:val="2"/>
        </w:rPr>
        <w:t xml:space="preserve"/>
      </w:r>
    </w:p>
    <w:p>
      <w:pPr>
        <w:pStyle w:val="Heading1"/>
        <w:spacing w:after="160" w:before="360"/>
      </w:pPr>
      <w:r>
        <w:rPr>
          <w:rFonts w:ascii="Calibri" w:cs="Calibri" w:eastAsia="Calibri" w:hAnsi="Calibri"/>
          <w:b/>
          <w:bCs/>
          <w:color w:val="1F3864"/>
          <w:sz w:val="28"/>
          <w:szCs w:val="28"/>
        </w:rPr>
        <w:t xml:space="preserve">A note to the Editor before the point-by-point response</w:t>
      </w:r>
    </w:p>
    <w:p>
      <w:pPr>
        <w:spacing w:after="120" w:line="276"/>
      </w:pPr>
      <w:r>
        <w:rPr>
          <w:rFonts w:ascii="Calibri" w:cs="Calibri" w:eastAsia="Calibri" w:hAnsi="Calibri"/>
          <w:sz w:val="22"/>
          <w:szCs w:val="22"/>
        </w:rPr>
        <w:t xml:space="preserve">We are grateful for the ten mandatory revisions. Addressing them did not produce a corrected version of the original study; it produced a different one. Working through the requirements on dataset description, patient-level splitting and duplicate removal obliged us to reconstruct the provenance of the benchmark from its source repositories, and that reconstruction invalidated the evaluation on which our original results rested. Every number in the submitted manuscript has been withdrawn and recomputed.</w:t>
      </w:r>
    </w:p>
    <w:p>
      <w:pPr>
        <w:spacing w:after="120" w:line="276"/>
      </w:pPr>
      <w:r>
        <w:rPr>
          <w:rFonts w:ascii="Calibri" w:cs="Calibri" w:eastAsia="Calibri" w:hAnsi="Calibri"/>
          <w:sz w:val="22"/>
          <w:szCs w:val="22"/>
        </w:rPr>
        <w:t xml:space="preserve">During that re-analysis we also identified several implementation and reporting errors in the original submission. They are set out in Section B so that the revised results can be reconciled transparently with what we submitted.</w:t>
      </w:r>
    </w:p>
    <w:p>
      <w:pPr>
        <w:spacing w:after="120" w:line="276"/>
      </w:pPr>
      <w:r>
        <w:rPr>
          <w:rFonts w:ascii="Calibri" w:cs="Calibri" w:eastAsia="Calibri" w:hAnsi="Calibri"/>
          <w:sz w:val="22"/>
          <w:szCs w:val="22"/>
        </w:rPr>
        <w:t xml:space="preserve">Because the scope of the study has changed, we would welcome the Editor’s guidance on two matters before the revision is assessed:</w:t>
      </w:r>
    </w:p>
    <w:p>
      <w:pPr>
        <w:pStyle w:val="ListParagraph"/>
        <w:numPr>
          <w:ilvl w:val="0"/>
          <w:numId w:val="2"/>
        </w:numPr>
        <w:spacing w:after="100" w:line="276"/>
      </w:pPr>
      <w:r>
        <w:rPr>
          <w:rFonts w:ascii="Calibri" w:cs="Calibri" w:eastAsia="Calibri" w:hAnsi="Calibri"/>
          <w:sz w:val="22"/>
          <w:szCs w:val="22"/>
        </w:rPr>
        <w:t xml:space="preserve">Scope. The revised manuscript is primarily an audit of a widely used public benchmark, with the hybrid-classifier comparison retained as a secondary contribution. If this falls outside the intended scope of the journal we would rather know now than after a second round of review.</w:t>
      </w:r>
    </w:p>
    <w:p>
      <w:pPr>
        <w:pStyle w:val="ListParagraph"/>
        <w:numPr>
          <w:ilvl w:val="0"/>
          <w:numId w:val="2"/>
        </w:numPr>
        <w:spacing w:after="100" w:line="276"/>
      </w:pPr>
      <w:r>
        <w:rPr>
          <w:rFonts w:ascii="Calibri" w:cs="Calibri" w:eastAsia="Calibri" w:hAnsi="Calibri"/>
          <w:sz w:val="22"/>
          <w:szCs w:val="22"/>
        </w:rPr>
        <w:t xml:space="preserve">Point 5. We were unable to satisfy the external-testing element of this requirement. We screened the candidate public four-class datasets we could identify and found substantial content-level overlap with the source repositories of the benchmark in each; our evidence is given under Point 5. We report this as the principal limitation rather than presenting a contaminated evaluation as external validation, and we respectfully defer to the Editor as to whether the substantially revised study can be considered with this element unmet.</w:t>
      </w:r>
    </w:p>
    <w:p>
      <w:pPr>
        <w:spacing w:after="120" w:line="276"/>
      </w:pPr>
      <w:r>
        <w:rPr>
          <w:rFonts w:ascii="Calibri" w:cs="Calibri" w:eastAsia="Calibri" w:hAnsi="Calibri"/>
          <w:sz w:val="22"/>
          <w:szCs w:val="22"/>
        </w:rPr>
        <w:t xml:space="preserve">All code, configuration files, split assignments, per-image predictions and audit manifests are deposited in a public repository, and the analyses below can be reproduced end to end from the source repositories.</w:t>
      </w:r>
    </w:p>
    <w:p>
      <w:pPr>
        <w:pBdr>
          <w:bottom w:val="single" w:color="BFBFBF" w:sz="6" w:space="1"/>
        </w:pBdr>
        <w:spacing w:after="200" w:before="160"/>
      </w:pPr>
      <w:r>
        <w:rPr>
          <w:rFonts w:ascii="Calibri" w:cs="Calibri" w:eastAsia="Calibri" w:hAnsi="Calibri"/>
          <w:sz w:val="2"/>
          <w:szCs w:val="2"/>
        </w:rPr>
        <w:t xml:space="preserve"/>
      </w:r>
    </w:p>
    <w:p>
      <w:pPr>
        <w:pStyle w:val="Heading1"/>
        <w:spacing w:after="160" w:before="360"/>
      </w:pPr>
      <w:r>
        <w:rPr>
          <w:rFonts w:ascii="Calibri" w:cs="Calibri" w:eastAsia="Calibri" w:hAnsi="Calibri"/>
          <w:b/>
          <w:bCs/>
          <w:color w:val="1F3864"/>
          <w:sz w:val="28"/>
          <w:szCs w:val="28"/>
        </w:rPr>
        <w:t xml:space="preserve">B. Corrections to the original submission</w:t>
      </w:r>
    </w:p>
    <w:p>
      <w:pPr>
        <w:spacing w:after="120" w:line="276"/>
      </w:pPr>
      <w:r>
        <w:rPr>
          <w:rFonts w:ascii="Calibri" w:cs="Calibri" w:eastAsia="Calibri" w:hAnsi="Calibri"/>
          <w:sz w:val="22"/>
          <w:szCs w:val="22"/>
        </w:rPr>
        <w:t xml:space="preserve">These were found by re-examining our own code during the revision. We list them because the revised numbers cannot otherwise be reconciled with the submitted ones. Each is described in full in the revised Methods.</w:t>
      </w:r>
    </w:p>
    <w:p>
      <w:pPr>
        <w:spacing w:after="120"/>
      </w:pPr>
      <w:r>
        <w:rPr>
          <w:sz w:val="16"/>
          <w:szCs w:val="16"/>
        </w:rPr>
        <w:t xml:space="preserve"/>
      </w:r>
    </w:p>
    <w:p>
      <w:pPr>
        <w:spacing w:after="120" w:line="276"/>
      </w:pPr>
      <w:r>
        <w:rPr>
          <w:rFonts w:ascii="Calibri" w:cs="Calibri" w:eastAsia="Calibri" w:hAnsi="Calibri"/>
          <w:b/>
          <w:bCs/>
          <w:sz w:val="20"/>
          <w:szCs w:val="20"/>
        </w:rPr>
        <w:t xml:space="preserve">Table B1. Errors identified in the original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3"/>
        <w:gridCol w:w="3574"/>
        <w:gridCol w:w="3063"/>
      </w:tblGrid>
      <w:tr>
        <w:trPr>
          <w:tblHeader/>
        </w:trPr>
        <w:tc>
          <w:tcPr>
            <w:tcW w:type="dxa" w:w="2723"/>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Issue in the original submission</w:t>
            </w:r>
          </w:p>
        </w:tc>
        <w:tc>
          <w:tcPr>
            <w:tcW w:type="dxa" w:w="3574"/>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Consequence</w:t>
            </w:r>
          </w:p>
        </w:tc>
        <w:tc>
          <w:tcPr>
            <w:tcW w:type="dxa" w:w="3063"/>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Revision</w:t>
            </w:r>
          </w:p>
        </w:tc>
      </w:tr>
      <w:tr>
        <w:tc>
          <w:tcPr>
            <w:tcW w:type="dxa" w:w="2723"/>
            <w:tcMar>
              <w:top w:type="dxa" w:w="60"/>
              <w:left w:type="dxa" w:w="90"/>
              <w:bottom w:type="dxa" w:w="60"/>
              <w:right w:type="dxa" w:w="90"/>
            </w:tcMar>
          </w:tcPr>
          <w:p>
            <w:pPr>
              <w:spacing w:after="0" w:line="240"/>
            </w:pPr>
            <w:r>
              <w:rPr>
                <w:rFonts w:ascii="Calibri" w:cs="Calibri" w:eastAsia="Calibri" w:hAnsi="Calibri"/>
                <w:sz w:val="19"/>
                <w:szCs w:val="19"/>
              </w:rPr>
              <w:t xml:space="preserve">Per-class values computed as TP/(TP+FP+FN)</w:t>
            </w:r>
          </w:p>
        </w:tc>
        <w:tc>
          <w:tcPr>
            <w:tcW w:type="dxa" w:w="3574"/>
            <w:tcMar>
              <w:top w:type="dxa" w:w="60"/>
              <w:left w:type="dxa" w:w="90"/>
              <w:bottom w:type="dxa" w:w="60"/>
              <w:right w:type="dxa" w:w="90"/>
            </w:tcMar>
          </w:tcPr>
          <w:p>
            <w:pPr>
              <w:spacing w:after="0" w:line="240"/>
              <w:jc w:val="center"/>
            </w:pPr>
            <w:r>
              <w:rPr>
                <w:rFonts w:ascii="Calibri" w:cs="Calibri" w:eastAsia="Calibri" w:hAnsi="Calibri"/>
                <w:sz w:val="19"/>
                <w:szCs w:val="19"/>
              </w:rPr>
              <w:t xml:space="preserve">The quantity labelled accuracy in Tables 4 and 5 was the Jaccard index, which omits true negatives. Overall accuracy of the EfficientNetB0+SVM configuration under the original evaluation was 97.97%, not the 96% reported.</w:t>
            </w:r>
          </w:p>
        </w:tc>
        <w:tc>
          <w:tcPr>
            <w:tcW w:type="dxa" w:w="3063"/>
            <w:tcMar>
              <w:top w:type="dxa" w:w="60"/>
              <w:left w:type="dxa" w:w="90"/>
              <w:bottom w:type="dxa" w:w="60"/>
              <w:right w:type="dxa" w:w="90"/>
            </w:tcMar>
          </w:tcPr>
          <w:p>
            <w:pPr>
              <w:spacing w:after="0" w:line="240"/>
              <w:jc w:val="center"/>
            </w:pPr>
            <w:r>
              <w:rPr>
                <w:rFonts w:ascii="Calibri" w:cs="Calibri" w:eastAsia="Calibri" w:hAnsi="Calibri"/>
                <w:sz w:val="19"/>
                <w:szCs w:val="19"/>
              </w:rPr>
              <w:t xml:space="preserve">Both quantities are reported under their correct names; the Jaccard index is retained in the supplement so the original values can be reconciled.</w:t>
            </w:r>
          </w:p>
        </w:tc>
      </w:tr>
      <w:tr>
        <w:tc>
          <w:tcPr>
            <w:tcW w:type="dxa" w:w="2723"/>
            <w:tcMar>
              <w:top w:type="dxa" w:w="60"/>
              <w:left w:type="dxa" w:w="90"/>
              <w:bottom w:type="dxa" w:w="60"/>
              <w:right w:type="dxa" w:w="90"/>
            </w:tcMar>
          </w:tcPr>
          <w:p>
            <w:pPr>
              <w:spacing w:after="0" w:line="240"/>
            </w:pPr>
            <w:r>
              <w:rPr>
                <w:rFonts w:ascii="Calibri" w:cs="Calibri" w:eastAsia="Calibri" w:hAnsi="Calibri"/>
                <w:sz w:val="19"/>
                <w:szCs w:val="19"/>
              </w:rPr>
              <w:t xml:space="preserve">CNN scored on the held-out test directory; hybrid classifiers scored on a random 20% of the training directory</w:t>
            </w:r>
          </w:p>
        </w:tc>
        <w:tc>
          <w:tcPr>
            <w:tcW w:type="dxa" w:w="3574"/>
            <w:tcMar>
              <w:top w:type="dxa" w:w="60"/>
              <w:left w:type="dxa" w:w="90"/>
              <w:bottom w:type="dxa" w:w="60"/>
              <w:right w:type="dxa" w:w="90"/>
            </w:tcMar>
          </w:tcPr>
          <w:p>
            <w:pPr>
              <w:spacing w:after="0" w:line="240"/>
              <w:jc w:val="center"/>
            </w:pPr>
            <w:r>
              <w:rPr>
                <w:rFonts w:ascii="Calibri" w:cs="Calibri" w:eastAsia="Calibri" w:hAnsi="Calibri"/>
                <w:sz w:val="19"/>
                <w:szCs w:val="19"/>
              </w:rPr>
              <w:t xml:space="preserve">The headline comparison of 96% against 95% was between numbers computed on different samples, and no paired test was possible.</w:t>
            </w:r>
          </w:p>
        </w:tc>
        <w:tc>
          <w:tcPr>
            <w:tcW w:type="dxa" w:w="3063"/>
            <w:tcMar>
              <w:top w:type="dxa" w:w="60"/>
              <w:left w:type="dxa" w:w="90"/>
              <w:bottom w:type="dxa" w:w="60"/>
              <w:right w:type="dxa" w:w="90"/>
            </w:tcMar>
          </w:tcPr>
          <w:p>
            <w:pPr>
              <w:spacing w:after="0" w:line="240"/>
              <w:jc w:val="center"/>
            </w:pPr>
            <w:r>
              <w:rPr>
                <w:rFonts w:ascii="Calibri" w:cs="Calibri" w:eastAsia="Calibri" w:hAnsi="Calibri"/>
                <w:sz w:val="19"/>
                <w:szCs w:val="19"/>
              </w:rPr>
              <w:t xml:space="preserve">Every model is scored on the same pooled out-of-fold predictions.</w:t>
            </w:r>
          </w:p>
        </w:tc>
      </w:tr>
      <w:tr>
        <w:tc>
          <w:tcPr>
            <w:tcW w:type="dxa" w:w="2723"/>
            <w:tcMar>
              <w:top w:type="dxa" w:w="60"/>
              <w:left w:type="dxa" w:w="90"/>
              <w:bottom w:type="dxa" w:w="60"/>
              <w:right w:type="dxa" w:w="90"/>
            </w:tcMar>
          </w:tcPr>
          <w:p>
            <w:pPr>
              <w:spacing w:after="0" w:line="240"/>
            </w:pPr>
            <w:r>
              <w:rPr>
                <w:rFonts w:ascii="Calibri" w:cs="Calibri" w:eastAsia="Calibri" w:hAnsi="Calibri"/>
                <w:sz w:val="19"/>
                <w:szCs w:val="19"/>
              </w:rPr>
              <w:t xml:space="preserve">Best CNN checkpoint selected by accuracy on the test set</w:t>
            </w:r>
          </w:p>
        </w:tc>
        <w:tc>
          <w:tcPr>
            <w:tcW w:type="dxa" w:w="3574"/>
            <w:tcMar>
              <w:top w:type="dxa" w:w="60"/>
              <w:left w:type="dxa" w:w="90"/>
              <w:bottom w:type="dxa" w:w="60"/>
              <w:right w:type="dxa" w:w="90"/>
            </w:tcMar>
          </w:tcPr>
          <w:p>
            <w:pPr>
              <w:spacing w:after="0" w:line="240"/>
              <w:jc w:val="center"/>
            </w:pPr>
            <w:r>
              <w:rPr>
                <w:rFonts w:ascii="Calibri" w:cs="Calibri" w:eastAsia="Calibri" w:hAnsi="Calibri"/>
                <w:sz w:val="19"/>
                <w:szCs w:val="19"/>
              </w:rPr>
              <w:t xml:space="preserve">Performance was reported on the same data used to make the selection.</w:t>
            </w:r>
          </w:p>
        </w:tc>
        <w:tc>
          <w:tcPr>
            <w:tcW w:type="dxa" w:w="3063"/>
            <w:tcMar>
              <w:top w:type="dxa" w:w="60"/>
              <w:left w:type="dxa" w:w="90"/>
              <w:bottom w:type="dxa" w:w="60"/>
              <w:right w:type="dxa" w:w="90"/>
            </w:tcMar>
          </w:tcPr>
          <w:p>
            <w:pPr>
              <w:spacing w:after="0" w:line="240"/>
              <w:jc w:val="center"/>
            </w:pPr>
            <w:r>
              <w:rPr>
                <w:rFonts w:ascii="Calibri" w:cs="Calibri" w:eastAsia="Calibri" w:hAnsi="Calibri"/>
                <w:sz w:val="19"/>
                <w:szCs w:val="19"/>
              </w:rPr>
              <w:t xml:space="preserve">Early stopping uses an inner validation fold drawn from the training portion; the outer test fold is never consulted for any choice.</w:t>
            </w:r>
          </w:p>
        </w:tc>
      </w:tr>
      <w:tr>
        <w:tc>
          <w:tcPr>
            <w:tcW w:type="dxa" w:w="2723"/>
            <w:tcMar>
              <w:top w:type="dxa" w:w="60"/>
              <w:left w:type="dxa" w:w="90"/>
              <w:bottom w:type="dxa" w:w="60"/>
              <w:right w:type="dxa" w:w="90"/>
            </w:tcMar>
          </w:tcPr>
          <w:p>
            <w:pPr>
              <w:spacing w:after="0" w:line="240"/>
            </w:pPr>
            <w:r>
              <w:rPr>
                <w:rFonts w:ascii="Calibri" w:cs="Calibri" w:eastAsia="Calibri" w:hAnsi="Calibri"/>
                <w:sz w:val="19"/>
                <w:szCs w:val="19"/>
              </w:rPr>
              <w:t xml:space="preserve">Augmentation routine executed against the Testing folder</w:t>
            </w:r>
          </w:p>
        </w:tc>
        <w:tc>
          <w:tcPr>
            <w:tcW w:type="dxa" w:w="3574"/>
            <w:tcMar>
              <w:top w:type="dxa" w:w="60"/>
              <w:left w:type="dxa" w:w="90"/>
              <w:bottom w:type="dxa" w:w="60"/>
              <w:right w:type="dxa" w:w="90"/>
            </w:tcMar>
          </w:tcPr>
          <w:p>
            <w:pPr>
              <w:spacing w:after="0" w:line="240"/>
              <w:jc w:val="center"/>
            </w:pPr>
            <w:r>
              <w:rPr>
                <w:rFonts w:ascii="Calibri" w:cs="Calibri" w:eastAsia="Calibri" w:hAnsi="Calibri"/>
                <w:sz w:val="19"/>
                <w:szCs w:val="19"/>
              </w:rPr>
              <w:t xml:space="preserve">The test set was expanded from 1,311 to approximately 6,000 synthetic copies, and the scalability analysis in Table 6 measured accuracy on those copies with the training set unchanged.</w:t>
            </w:r>
          </w:p>
        </w:tc>
        <w:tc>
          <w:tcPr>
            <w:tcW w:type="dxa" w:w="3063"/>
            <w:tcMar>
              <w:top w:type="dxa" w:w="60"/>
              <w:left w:type="dxa" w:w="90"/>
              <w:bottom w:type="dxa" w:w="60"/>
              <w:right w:type="dxa" w:w="90"/>
            </w:tcMar>
          </w:tcPr>
          <w:p>
            <w:pPr>
              <w:spacing w:after="0" w:line="240"/>
              <w:jc w:val="center"/>
            </w:pPr>
            <w:r>
              <w:rPr>
                <w:rFonts w:ascii="Calibri" w:cs="Calibri" w:eastAsia="Calibri" w:hAnsi="Calibri"/>
                <w:sz w:val="19"/>
                <w:szCs w:val="19"/>
              </w:rPr>
              <w:t xml:space="preserve">Table 6 is withdrawn in full. Augmentation is applied on the fly to training folds only, and nothing is written to disk.</w:t>
            </w:r>
          </w:p>
        </w:tc>
      </w:tr>
      <w:tr>
        <w:tc>
          <w:tcPr>
            <w:tcW w:type="dxa" w:w="2723"/>
            <w:tcMar>
              <w:top w:type="dxa" w:w="60"/>
              <w:left w:type="dxa" w:w="90"/>
              <w:bottom w:type="dxa" w:w="60"/>
              <w:right w:type="dxa" w:w="90"/>
            </w:tcMar>
          </w:tcPr>
          <w:p>
            <w:pPr>
              <w:spacing w:after="0" w:line="240"/>
            </w:pPr>
            <w:r>
              <w:rPr>
                <w:rFonts w:ascii="Calibri" w:cs="Calibri" w:eastAsia="Calibri" w:hAnsi="Calibri"/>
                <w:sz w:val="19"/>
                <w:szCs w:val="19"/>
              </w:rPr>
              <w:t xml:space="preserve">Training transform, including colour jitter, flips and rotations, passed to the evaluation loader</w:t>
            </w:r>
          </w:p>
        </w:tc>
        <w:tc>
          <w:tcPr>
            <w:tcW w:type="dxa" w:w="3574"/>
            <w:tcMar>
              <w:top w:type="dxa" w:w="60"/>
              <w:left w:type="dxa" w:w="90"/>
              <w:bottom w:type="dxa" w:w="60"/>
              <w:right w:type="dxa" w:w="90"/>
            </w:tcMar>
          </w:tcPr>
          <w:p>
            <w:pPr>
              <w:spacing w:after="0" w:line="240"/>
              <w:jc w:val="center"/>
            </w:pPr>
            <w:r>
              <w:rPr>
                <w:rFonts w:ascii="Calibri" w:cs="Calibri" w:eastAsia="Calibri" w:hAnsi="Calibri"/>
                <w:sz w:val="19"/>
                <w:szCs w:val="19"/>
              </w:rPr>
              <w:t xml:space="preserve">Every reported figure was a single random draw and was not reproducible.</w:t>
            </w:r>
          </w:p>
        </w:tc>
        <w:tc>
          <w:tcPr>
            <w:tcW w:type="dxa" w:w="3063"/>
            <w:tcMar>
              <w:top w:type="dxa" w:w="60"/>
              <w:left w:type="dxa" w:w="90"/>
              <w:bottom w:type="dxa" w:w="60"/>
              <w:right w:type="dxa" w:w="90"/>
            </w:tcMar>
          </w:tcPr>
          <w:p>
            <w:pPr>
              <w:spacing w:after="0" w:line="240"/>
              <w:jc w:val="center"/>
            </w:pPr>
            <w:r>
              <w:rPr>
                <w:rFonts w:ascii="Calibri" w:cs="Calibri" w:eastAsia="Calibri" w:hAnsi="Calibri"/>
                <w:sz w:val="19"/>
                <w:szCs w:val="19"/>
              </w:rPr>
              <w:t xml:space="preserve">Evaluation is fully deterministic.</w:t>
            </w:r>
          </w:p>
        </w:tc>
      </w:tr>
      <w:tr>
        <w:tc>
          <w:tcPr>
            <w:tcW w:type="dxa" w:w="2723"/>
            <w:tcMar>
              <w:top w:type="dxa" w:w="60"/>
              <w:left w:type="dxa" w:w="90"/>
              <w:bottom w:type="dxa" w:w="60"/>
              <w:right w:type="dxa" w:w="90"/>
            </w:tcMar>
          </w:tcPr>
          <w:p>
            <w:pPr>
              <w:spacing w:after="0" w:line="240"/>
            </w:pPr>
            <w:r>
              <w:rPr>
                <w:rFonts w:ascii="Calibri" w:cs="Calibri" w:eastAsia="Calibri" w:hAnsi="Calibri"/>
                <w:sz w:val="19"/>
                <w:szCs w:val="19"/>
              </w:rPr>
              <w:t xml:space="preserve">Removing the classifier head also removed the pooling layer</w:t>
            </w:r>
          </w:p>
        </w:tc>
        <w:tc>
          <w:tcPr>
            <w:tcW w:type="dxa" w:w="3574"/>
            <w:tcMar>
              <w:top w:type="dxa" w:w="60"/>
              <w:left w:type="dxa" w:w="90"/>
              <w:bottom w:type="dxa" w:w="60"/>
              <w:right w:type="dxa" w:w="90"/>
            </w:tcMar>
          </w:tcPr>
          <w:p>
            <w:pPr>
              <w:spacing w:after="0" w:line="240"/>
              <w:jc w:val="center"/>
            </w:pPr>
            <w:r>
              <w:rPr>
                <w:rFonts w:ascii="Calibri" w:cs="Calibri" w:eastAsia="Calibri" w:hAnsi="Calibri"/>
                <w:sz w:val="19"/>
                <w:szCs w:val="19"/>
              </w:rPr>
              <w:t xml:space="preserve">The extracted vector was a flattened 10x10x1280 feature map of 128,000 dimensions, not the 9,216-dimensional pooled vector described.</w:t>
            </w:r>
          </w:p>
        </w:tc>
        <w:tc>
          <w:tcPr>
            <w:tcW w:type="dxa" w:w="3063"/>
            <w:tcMar>
              <w:top w:type="dxa" w:w="60"/>
              <w:left w:type="dxa" w:w="90"/>
              <w:bottom w:type="dxa" w:w="60"/>
              <w:right w:type="dxa" w:w="90"/>
            </w:tcMar>
          </w:tcPr>
          <w:p>
            <w:pPr>
              <w:spacing w:after="0" w:line="240"/>
              <w:jc w:val="center"/>
            </w:pPr>
            <w:r>
              <w:rPr>
                <w:rFonts w:ascii="Calibri" w:cs="Calibri" w:eastAsia="Calibri" w:hAnsi="Calibri"/>
                <w:sz w:val="19"/>
                <w:szCs w:val="19"/>
              </w:rPr>
              <w:t xml:space="preserve">A genuine 1,280-dimensional global-average-pooled vector is used.</w:t>
            </w:r>
          </w:p>
        </w:tc>
      </w:tr>
      <w:tr>
        <w:tc>
          <w:tcPr>
            <w:tcW w:type="dxa" w:w="2723"/>
            <w:tcMar>
              <w:top w:type="dxa" w:w="60"/>
              <w:left w:type="dxa" w:w="90"/>
              <w:bottom w:type="dxa" w:w="60"/>
              <w:right w:type="dxa" w:w="90"/>
            </w:tcMar>
          </w:tcPr>
          <w:p>
            <w:pPr>
              <w:spacing w:after="0" w:line="240"/>
            </w:pPr>
            <w:r>
              <w:rPr>
                <w:rFonts w:ascii="Calibri" w:cs="Calibri" w:eastAsia="Calibri" w:hAnsi="Calibri"/>
                <w:sz w:val="19"/>
                <w:szCs w:val="19"/>
              </w:rPr>
              <w:t xml:space="preserve">Input resolution 299x299 described as matching the architecture; per-image normalisation described but ImageNet constants used; TPU stated in the text and GPU in Table 2; several Table 6 values not reproducible from the code</w:t>
            </w:r>
          </w:p>
        </w:tc>
        <w:tc>
          <w:tcPr>
            <w:tcW w:type="dxa" w:w="3574"/>
            <w:tcMar>
              <w:top w:type="dxa" w:w="60"/>
              <w:left w:type="dxa" w:w="90"/>
              <w:bottom w:type="dxa" w:w="60"/>
              <w:right w:type="dxa" w:w="90"/>
            </w:tcMar>
          </w:tcPr>
          <w:p>
            <w:pPr>
              <w:spacing w:after="0" w:line="240"/>
              <w:jc w:val="center"/>
            </w:pPr>
            <w:r>
              <w:rPr>
                <w:rFonts w:ascii="Calibri" w:cs="Calibri" w:eastAsia="Calibri" w:hAnsi="Calibri"/>
                <w:sz w:val="19"/>
                <w:szCs w:val="19"/>
              </w:rPr>
              <w:t xml:space="preserve">The Methods did not describe the implementation that produced the results.</w:t>
            </w:r>
          </w:p>
        </w:tc>
        <w:tc>
          <w:tcPr>
            <w:tcW w:type="dxa" w:w="3063"/>
            <w:tcMar>
              <w:top w:type="dxa" w:w="60"/>
              <w:left w:type="dxa" w:w="90"/>
              <w:bottom w:type="dxa" w:w="60"/>
              <w:right w:type="dxa" w:w="90"/>
            </w:tcMar>
          </w:tcPr>
          <w:p>
            <w:pPr>
              <w:spacing w:after="0" w:line="240"/>
              <w:jc w:val="center"/>
            </w:pPr>
            <w:r>
              <w:rPr>
                <w:rFonts w:ascii="Calibri" w:cs="Calibri" w:eastAsia="Calibri" w:hAnsi="Calibri"/>
                <w:sz w:val="19"/>
                <w:szCs w:val="19"/>
              </w:rPr>
              <w:t xml:space="preserve">The Implementation subsection is rewritten; input resolution is resolved from the model data configuration rather than hard-coded.</w:t>
            </w:r>
          </w:p>
        </w:tc>
      </w:tr>
      <w:tr>
        <w:tc>
          <w:tcPr>
            <w:tcW w:type="dxa" w:w="2723"/>
            <w:tcMar>
              <w:top w:type="dxa" w:w="60"/>
              <w:left w:type="dxa" w:w="90"/>
              <w:bottom w:type="dxa" w:w="60"/>
              <w:right w:type="dxa" w:w="90"/>
            </w:tcMar>
          </w:tcPr>
          <w:p>
            <w:pPr>
              <w:spacing w:after="0" w:line="240"/>
            </w:pPr>
            <w:r>
              <w:rPr>
                <w:rFonts w:ascii="Calibri" w:cs="Calibri" w:eastAsia="Calibri" w:hAnsi="Calibri"/>
                <w:sz w:val="19"/>
                <w:szCs w:val="19"/>
              </w:rPr>
              <w:t xml:space="preserve">Results section duplicated; references to Tables R2, R5 and Figures R1 that did not exist; section numbering skipped from 1 to 3; quoted phrases without attribution; task described as classification of cancer stages</w:t>
            </w:r>
          </w:p>
        </w:tc>
        <w:tc>
          <w:tcPr>
            <w:tcW w:type="dxa" w:w="3574"/>
            <w:tcMar>
              <w:top w:type="dxa" w:w="60"/>
              <w:left w:type="dxa" w:w="90"/>
              <w:bottom w:type="dxa" w:w="60"/>
              <w:right w:type="dxa" w:w="90"/>
            </w:tcMar>
          </w:tcPr>
          <w:p>
            <w:pPr>
              <w:spacing w:after="0" w:line="240"/>
              <w:jc w:val="center"/>
            </w:pPr>
            <w:r>
              <w:rPr>
                <w:rFonts w:ascii="Calibri" w:cs="Calibri" w:eastAsia="Calibri" w:hAnsi="Calibri"/>
                <w:sz w:val="19"/>
                <w:szCs w:val="19"/>
              </w:rPr>
              <w:t xml:space="preserve">Presentation errors, and one substantive mis-description: the model classifies tumour type, not stage.</w:t>
            </w:r>
          </w:p>
        </w:tc>
        <w:tc>
          <w:tcPr>
            <w:tcW w:type="dxa" w:w="3063"/>
            <w:tcMar>
              <w:top w:type="dxa" w:w="60"/>
              <w:left w:type="dxa" w:w="90"/>
              <w:bottom w:type="dxa" w:w="60"/>
              <w:right w:type="dxa" w:w="90"/>
            </w:tcMar>
          </w:tcPr>
          <w:p>
            <w:pPr>
              <w:spacing w:after="0" w:line="240"/>
              <w:jc w:val="center"/>
            </w:pPr>
            <w:r>
              <w:rPr>
                <w:rFonts w:ascii="Calibri" w:cs="Calibri" w:eastAsia="Calibri" w:hAnsi="Calibri"/>
                <w:sz w:val="19"/>
                <w:szCs w:val="19"/>
              </w:rPr>
              <w:t xml:space="preserve">All corrected. Quoted material is either attributed or rewritten in our own words.</w:t>
            </w:r>
          </w:p>
        </w:tc>
      </w:tr>
    </w:tbl>
    <w:p>
      <w:pPr>
        <w:spacing w:after="120"/>
      </w:pPr>
      <w:r>
        <w:rPr>
          <w:sz w:val="16"/>
          <w:szCs w:val="16"/>
        </w:rPr>
        <w:t xml:space="preserve"/>
      </w:r>
    </w:p>
    <w:p>
      <w:pPr>
        <w:pBdr>
          <w:bottom w:val="single" w:color="BFBFBF" w:sz="6" w:space="1"/>
        </w:pBdr>
        <w:spacing w:after="200" w:before="160"/>
      </w:pPr>
      <w:r>
        <w:rPr>
          <w:rFonts w:ascii="Calibri" w:cs="Calibri" w:eastAsia="Calibri" w:hAnsi="Calibri"/>
          <w:sz w:val="2"/>
          <w:szCs w:val="2"/>
        </w:rPr>
        <w:t xml:space="preserve"/>
      </w:r>
    </w:p>
    <w:p>
      <w:pPr>
        <w:pStyle w:val="Heading1"/>
        <w:spacing w:after="160" w:before="360"/>
      </w:pPr>
      <w:r>
        <w:rPr>
          <w:rFonts w:ascii="Calibri" w:cs="Calibri" w:eastAsia="Calibri" w:hAnsi="Calibri"/>
          <w:b/>
          <w:bCs/>
          <w:color w:val="1F3864"/>
          <w:sz w:val="28"/>
          <w:szCs w:val="28"/>
        </w:rPr>
        <w:t xml:space="preserve">C. Point-by-point response</w:t>
      </w:r>
    </w:p>
    <w:p>
      <w:pPr>
        <w:pStyle w:val="Heading2"/>
        <w:spacing w:after="140" w:before="300"/>
      </w:pPr>
      <w:r>
        <w:rPr>
          <w:rFonts w:ascii="Calibri" w:cs="Calibri" w:eastAsia="Calibri" w:hAnsi="Calibri"/>
          <w:b/>
          <w:bCs/>
          <w:color w:val="2E5496"/>
          <w:sz w:val="24"/>
          <w:szCs w:val="24"/>
        </w:rPr>
        <w:t xml:space="preserve">Point 1 — Methodological novelty and clinical contribution</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Clarify the manuscript’s methodological novelty beyond combining EfficientNetB0 features with conventional classifiers and define the specific clinical contribution.</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We accept that the original framing offered no methodological novelty. Combining a pre-trained backbone with a conventional classifier is standard practice and we no longer present it as a contribution. The revised study makes three contributions, all of which emerged from addressing Points 2, 3 and 5.</w:t>
      </w:r>
    </w:p>
    <w:p>
      <w:pPr>
        <w:spacing w:after="120" w:line="276"/>
      </w:pPr>
      <w:r>
        <w:rPr>
          <w:rFonts w:ascii="Calibri" w:cs="Calibri" w:eastAsia="Calibri" w:hAnsi="Calibri"/>
          <w:i/>
          <w:iCs/>
          <w:sz w:val="22"/>
          <w:szCs w:val="22"/>
        </w:rPr>
        <w:t xml:space="preserve">A provenance reconstruction of the benchmark. </w:t>
      </w:r>
      <w:r>
        <w:rPr>
          <w:rFonts w:ascii="Calibri" w:cs="Calibri" w:eastAsia="Calibri" w:hAnsi="Calibri"/>
          <w:sz w:val="22"/>
          <w:szCs w:val="22"/>
        </w:rPr>
        <w:t xml:space="preserve">We recovered patient identifiers and tumour masks from the original MATLAB archives of the Figshare collection and matched them back to the redistributed benchmark by perceptual hashing. This enables patient-level analysis of the benchmark and establishes that two of the three repositories customarily described as independent sources are not: 1,452 near-duplicate clusters span the Figshare and SARTAJ collections, and only 168 SARTAJ images survive deduplication against Figshare.</w:t>
      </w:r>
    </w:p>
    <w:p>
      <w:pPr>
        <w:spacing w:after="120" w:line="276"/>
      </w:pPr>
      <w:r>
        <w:rPr>
          <w:rFonts w:ascii="Calibri" w:cs="Calibri" w:eastAsia="Calibri" w:hAnsi="Calibri"/>
          <w:i/>
          <w:iCs/>
          <w:sz w:val="22"/>
          <w:szCs w:val="22"/>
        </w:rPr>
        <w:t xml:space="preserve">Three complementary measurements of evaluation inflation. </w:t>
      </w:r>
      <w:r>
        <w:rPr>
          <w:rFonts w:ascii="Calibri" w:cs="Calibri" w:eastAsia="Calibri" w:hAnsi="Calibri"/>
          <w:sz w:val="22"/>
          <w:szCs w:val="22"/>
        </w:rPr>
        <w:t xml:space="preserve">These are summarised in Table R1. They differ in what they hold constant, and therefore in which alternative explanations they exclude, yet agree in direction and approximate magnitude.</w:t>
      </w:r>
    </w:p>
    <w:p>
      <w:pPr>
        <w:spacing w:after="120" w:line="276"/>
      </w:pPr>
      <w:r>
        <w:rPr>
          <w:rFonts w:ascii="Calibri" w:cs="Calibri" w:eastAsia="Calibri" w:hAnsi="Calibri"/>
          <w:i/>
          <w:iCs/>
          <w:sz w:val="22"/>
          <w:szCs w:val="22"/>
        </w:rPr>
        <w:t xml:space="preserve">Evidence of a source-associated shortcut affecting one class. </w:t>
      </w:r>
      <w:r>
        <w:rPr>
          <w:rFonts w:ascii="Calibri" w:cs="Calibri" w:eastAsia="Calibri" w:hAnsi="Calibri"/>
          <w:sz w:val="22"/>
          <w:szCs w:val="22"/>
        </w:rPr>
        <w:t xml:space="preserve">A linear probe recovers the source repository from the region outside an estimated head mask, which contains no brain tissue, with 0.9997 balanced accuracy, and with 0.9843 when the diagnostic class is held constant. Because the no-tumour class is drawn exclusively from one repository, its label is strongly associated with source-specific, non-pathological image characteristics. We do not attribute these to scanner or acquisition parameters specifically, since cropping, padding, resampling and compression are equally consistent with the finding.</w:t>
      </w:r>
    </w:p>
    <w:p>
      <w:pPr>
        <w:spacing w:after="120" w:line="276"/>
      </w:pPr>
      <w:r>
        <w:rPr>
          <w:rFonts w:ascii="Calibri" w:cs="Calibri" w:eastAsia="Calibri" w:hAnsi="Calibri"/>
          <w:b/>
          <w:bCs/>
          <w:sz w:val="22"/>
          <w:szCs w:val="22"/>
        </w:rPr>
        <w:t xml:space="preserve">Clinical relevance. </w:t>
      </w:r>
      <w:r>
        <w:rPr>
          <w:rFonts w:ascii="Calibri" w:cs="Calibri" w:eastAsia="Calibri" w:hAnsi="Calibri"/>
          <w:sz w:val="22"/>
          <w:szCs w:val="22"/>
        </w:rPr>
        <w:t xml:space="preserve">The revised study does not claim demonstrated clinical benefit, and the clinical-readiness language of the original submission is removed. Its clinical relevance is to establish which benchmark performance estimates can and cannot reasonably be read as evidence of generalisable diagnostic performance. Confidence-based deferral is retained only as an exploratory selective-prediction analysis: on the Figshare-only patient-level cohort, referring the least-confident 20% of patients raises accuracy on the retained 80% from 0.910 to 0.968, transferring 482 of the 3,038 images to a radiologist. We report it as exploratory and make no claim of clinical utility on that basis.</w:t>
      </w:r>
    </w:p>
    <w:p>
      <w:pPr>
        <w:spacing w:after="120"/>
      </w:pPr>
      <w:r>
        <w:rPr>
          <w:sz w:val="16"/>
          <w:szCs w:val="16"/>
        </w:rPr>
        <w:t xml:space="preserve"/>
      </w:r>
    </w:p>
    <w:p>
      <w:pPr>
        <w:spacing w:after="120" w:line="276"/>
      </w:pPr>
      <w:r>
        <w:rPr>
          <w:rFonts w:ascii="Calibri" w:cs="Calibri" w:eastAsia="Calibri" w:hAnsi="Calibri"/>
          <w:b/>
          <w:bCs/>
          <w:sz w:val="20"/>
          <w:szCs w:val="20"/>
        </w:rPr>
        <w:t xml:space="preserve">Table R1. Three complementary estimates of evaluation inflation.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6"/>
        <w:gridCol w:w="3073"/>
        <w:gridCol w:w="2375"/>
        <w:gridCol w:w="1816"/>
      </w:tblGrid>
      <w:tr>
        <w:trPr>
          <w:tblHeader/>
        </w:trPr>
        <w:tc>
          <w:tcPr>
            <w:tcW w:type="dxa" w:w="2096"/>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Design</w:t>
            </w:r>
          </w:p>
        </w:tc>
        <w:tc>
          <w:tcPr>
            <w:tcW w:type="dxa" w:w="3073"/>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Contrast</w:t>
            </w:r>
          </w:p>
        </w:tc>
        <w:tc>
          <w:tcPr>
            <w:tcW w:type="dxa" w:w="2375"/>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Held constant</w:t>
            </w:r>
          </w:p>
        </w:tc>
        <w:tc>
          <w:tcPr>
            <w:tcW w:type="dxa" w:w="1816"/>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Estimate</w:t>
            </w:r>
          </w:p>
        </w:tc>
      </w:tr>
      <w:tr>
        <w:tc>
          <w:tcPr>
            <w:tcW w:type="dxa" w:w="2096"/>
            <w:tcMar>
              <w:top w:type="dxa" w:w="60"/>
              <w:left w:type="dxa" w:w="90"/>
              <w:bottom w:type="dxa" w:w="60"/>
              <w:right w:type="dxa" w:w="90"/>
            </w:tcMar>
          </w:tcPr>
          <w:p>
            <w:pPr>
              <w:spacing w:after="0" w:line="240"/>
            </w:pPr>
            <w:r>
              <w:rPr>
                <w:rFonts w:ascii="Calibri" w:cs="Calibri" w:eastAsia="Calibri" w:hAnsi="Calibri"/>
                <w:sz w:val="19"/>
                <w:szCs w:val="19"/>
              </w:rPr>
              <w:t xml:space="preserve">Internal, pre-specified</w:t>
            </w:r>
          </w:p>
        </w:tc>
        <w:tc>
          <w:tcPr>
            <w:tcW w:type="dxa" w:w="3073"/>
            <w:tcMar>
              <w:top w:type="dxa" w:w="60"/>
              <w:left w:type="dxa" w:w="90"/>
              <w:bottom w:type="dxa" w:w="60"/>
              <w:right w:type="dxa" w:w="90"/>
            </w:tcMar>
          </w:tcPr>
          <w:p>
            <w:pPr>
              <w:spacing w:after="0" w:line="240"/>
              <w:jc w:val="center"/>
            </w:pPr>
            <w:r>
              <w:rPr>
                <w:rFonts w:ascii="Calibri" w:cs="Calibri" w:eastAsia="Calibri" w:hAnsi="Calibri"/>
                <w:sz w:val="19"/>
                <w:szCs w:val="19"/>
              </w:rPr>
              <w:t xml:space="preserve">Image-level vs group-disjoint partitioning</w:t>
            </w:r>
          </w:p>
        </w:tc>
        <w:tc>
          <w:tcPr>
            <w:tcW w:type="dxa" w:w="2375"/>
            <w:tcMar>
              <w:top w:type="dxa" w:w="60"/>
              <w:left w:type="dxa" w:w="90"/>
              <w:bottom w:type="dxa" w:w="60"/>
              <w:right w:type="dxa" w:w="90"/>
            </w:tcMar>
          </w:tcPr>
          <w:p>
            <w:pPr>
              <w:spacing w:after="0" w:line="240"/>
              <w:jc w:val="center"/>
            </w:pPr>
            <w:r>
              <w:rPr>
                <w:rFonts w:ascii="Calibri" w:cs="Calibri" w:eastAsia="Calibri" w:hAnsi="Calibri"/>
                <w:sz w:val="19"/>
                <w:szCs w:val="19"/>
              </w:rPr>
              <w:t xml:space="preserve">Model, data, code, seed</w:t>
            </w:r>
          </w:p>
        </w:tc>
        <w:tc>
          <w:tcPr>
            <w:tcW w:type="dxa" w:w="1816"/>
            <w:tcMar>
              <w:top w:type="dxa" w:w="60"/>
              <w:left w:type="dxa" w:w="90"/>
              <w:bottom w:type="dxa" w:w="60"/>
              <w:right w:type="dxa" w:w="90"/>
            </w:tcMar>
          </w:tcPr>
          <w:p>
            <w:pPr>
              <w:spacing w:after="0" w:line="240"/>
              <w:jc w:val="center"/>
            </w:pPr>
            <w:r>
              <w:rPr>
                <w:rFonts w:ascii="Calibri" w:cs="Calibri" w:eastAsia="Calibri" w:hAnsi="Calibri"/>
                <w:sz w:val="19"/>
                <w:szCs w:val="19"/>
              </w:rPr>
              <w:t xml:space="preserve">+3.09 to +5.74 pp</w:t>
            </w:r>
          </w:p>
        </w:tc>
      </w:tr>
      <w:tr>
        <w:tc>
          <w:tcPr>
            <w:tcW w:type="dxa" w:w="2096"/>
            <w:tcMar>
              <w:top w:type="dxa" w:w="60"/>
              <w:left w:type="dxa" w:w="90"/>
              <w:bottom w:type="dxa" w:w="60"/>
              <w:right w:type="dxa" w:w="90"/>
            </w:tcMar>
          </w:tcPr>
          <w:p>
            <w:pPr>
              <w:spacing w:after="0" w:line="240"/>
            </w:pPr>
            <w:r>
              <w:rPr>
                <w:rFonts w:ascii="Calibri" w:cs="Calibri" w:eastAsia="Calibri" w:hAnsi="Calibri"/>
                <w:sz w:val="19"/>
                <w:szCs w:val="19"/>
              </w:rPr>
              <w:t xml:space="preserve">Third-party, observational</w:t>
            </w:r>
          </w:p>
        </w:tc>
        <w:tc>
          <w:tcPr>
            <w:tcW w:type="dxa" w:w="3073"/>
            <w:tcMar>
              <w:top w:type="dxa" w:w="60"/>
              <w:left w:type="dxa" w:w="90"/>
              <w:bottom w:type="dxa" w:w="60"/>
              <w:right w:type="dxa" w:w="90"/>
            </w:tcMar>
          </w:tcPr>
          <w:p>
            <w:pPr>
              <w:spacing w:after="0" w:line="240"/>
              <w:jc w:val="center"/>
            </w:pPr>
            <w:r>
              <w:rPr>
                <w:rFonts w:ascii="Calibri" w:cs="Calibri" w:eastAsia="Calibri" w:hAnsi="Calibri"/>
                <w:sz w:val="19"/>
                <w:szCs w:val="19"/>
              </w:rPr>
              <w:t xml:space="preserve">Overlapping vs non-overlapping images</w:t>
            </w:r>
          </w:p>
        </w:tc>
        <w:tc>
          <w:tcPr>
            <w:tcW w:type="dxa" w:w="2375"/>
            <w:tcMar>
              <w:top w:type="dxa" w:w="60"/>
              <w:left w:type="dxa" w:w="90"/>
              <w:bottom w:type="dxa" w:w="60"/>
              <w:right w:type="dxa" w:w="90"/>
            </w:tcMar>
          </w:tcPr>
          <w:p>
            <w:pPr>
              <w:spacing w:after="0" w:line="240"/>
              <w:jc w:val="center"/>
            </w:pPr>
            <w:r>
              <w:rPr>
                <w:rFonts w:ascii="Calibri" w:cs="Calibri" w:eastAsia="Calibri" w:hAnsi="Calibri"/>
                <w:sz w:val="19"/>
                <w:szCs w:val="19"/>
              </w:rPr>
              <w:t xml:space="preserve">Publisher, preprocessing, model</w:t>
            </w:r>
          </w:p>
        </w:tc>
        <w:tc>
          <w:tcPr>
            <w:tcW w:type="dxa" w:w="1816"/>
            <w:tcMar>
              <w:top w:type="dxa" w:w="60"/>
              <w:left w:type="dxa" w:w="90"/>
              <w:bottom w:type="dxa" w:w="60"/>
              <w:right w:type="dxa" w:w="90"/>
            </w:tcMar>
          </w:tcPr>
          <w:p>
            <w:pPr>
              <w:spacing w:after="0" w:line="240"/>
              <w:jc w:val="center"/>
            </w:pPr>
            <w:r>
              <w:rPr>
                <w:rFonts w:ascii="Calibri" w:cs="Calibri" w:eastAsia="Calibri" w:hAnsi="Calibri"/>
                <w:sz w:val="19"/>
                <w:szCs w:val="19"/>
              </w:rPr>
              <w:t xml:space="preserve">+4.18 to +8.23 pp</w:t>
            </w:r>
          </w:p>
        </w:tc>
      </w:tr>
      <w:tr>
        <w:tc>
          <w:tcPr>
            <w:tcW w:type="dxa" w:w="2096"/>
            <w:tcMar>
              <w:top w:type="dxa" w:w="60"/>
              <w:left w:type="dxa" w:w="90"/>
              <w:bottom w:type="dxa" w:w="60"/>
              <w:right w:type="dxa" w:w="90"/>
            </w:tcMar>
          </w:tcPr>
          <w:p>
            <w:pPr>
              <w:spacing w:after="0" w:line="240"/>
            </w:pPr>
            <w:r>
              <w:rPr>
                <w:rFonts w:ascii="Calibri" w:cs="Calibri" w:eastAsia="Calibri" w:hAnsi="Calibri"/>
                <w:sz w:val="19"/>
                <w:szCs w:val="19"/>
              </w:rPr>
              <w:t xml:space="preserve">Third-party, within-image paired</w:t>
            </w:r>
          </w:p>
        </w:tc>
        <w:tc>
          <w:tcPr>
            <w:tcW w:type="dxa" w:w="3073"/>
            <w:tcMar>
              <w:top w:type="dxa" w:w="60"/>
              <w:left w:type="dxa" w:w="90"/>
              <w:bottom w:type="dxa" w:w="60"/>
              <w:right w:type="dxa" w:w="90"/>
            </w:tcMar>
          </w:tcPr>
          <w:p>
            <w:pPr>
              <w:spacing w:after="0" w:line="240"/>
              <w:jc w:val="center"/>
            </w:pPr>
            <w:r>
              <w:rPr>
                <w:rFonts w:ascii="Calibri" w:cs="Calibri" w:eastAsia="Calibri" w:hAnsi="Calibri"/>
                <w:sz w:val="19"/>
                <w:szCs w:val="19"/>
              </w:rPr>
              <w:t xml:space="preserve">Same image, backbone fitted with vs without its counterpart</w:t>
            </w:r>
          </w:p>
        </w:tc>
        <w:tc>
          <w:tcPr>
            <w:tcW w:type="dxa" w:w="2375"/>
            <w:tcMar>
              <w:top w:type="dxa" w:w="60"/>
              <w:left w:type="dxa" w:w="90"/>
              <w:bottom w:type="dxa" w:w="60"/>
              <w:right w:type="dxa" w:w="90"/>
            </w:tcMar>
          </w:tcPr>
          <w:p>
            <w:pPr>
              <w:spacing w:after="0" w:line="240"/>
              <w:jc w:val="center"/>
            </w:pPr>
            <w:r>
              <w:rPr>
                <w:rFonts w:ascii="Calibri" w:cs="Calibri" w:eastAsia="Calibri" w:hAnsi="Calibri"/>
                <w:sz w:val="19"/>
                <w:szCs w:val="19"/>
              </w:rPr>
              <w:t xml:space="preserve">All of the above, plus the image itself</w:t>
            </w:r>
          </w:p>
        </w:tc>
        <w:tc>
          <w:tcPr>
            <w:tcW w:type="dxa" w:w="1816"/>
            <w:tcMar>
              <w:top w:type="dxa" w:w="60"/>
              <w:left w:type="dxa" w:w="90"/>
              <w:bottom w:type="dxa" w:w="60"/>
              <w:right w:type="dxa" w:w="90"/>
            </w:tcMar>
          </w:tcPr>
          <w:p>
            <w:pPr>
              <w:spacing w:after="0" w:line="240"/>
              <w:jc w:val="center"/>
            </w:pPr>
            <w:r>
              <w:rPr>
                <w:rFonts w:ascii="Calibri" w:cs="Calibri" w:eastAsia="Calibri" w:hAnsi="Calibri"/>
                <w:sz w:val="19"/>
                <w:szCs w:val="19"/>
              </w:rPr>
              <w:t xml:space="preserve">+5.62 to +6.79 pp</w:t>
            </w:r>
          </w:p>
        </w:tc>
      </w:tr>
    </w:tbl>
    <w:p>
      <w:pPr>
        <w:spacing w:after="120"/>
      </w:pPr>
      <w:r>
        <w:rPr>
          <w:sz w:val="16"/>
          <w:szCs w:val="16"/>
        </w:rPr>
        <w:t xml:space="preserve"/>
      </w:r>
    </w:p>
    <w:p>
      <w:pPr>
        <w:pStyle w:val="Heading2"/>
        <w:spacing w:after="140" w:before="300"/>
      </w:pPr>
      <w:r>
        <w:rPr>
          <w:rFonts w:ascii="Calibri" w:cs="Calibri" w:eastAsia="Calibri" w:hAnsi="Calibri"/>
          <w:b/>
          <w:bCs/>
          <w:color w:val="2E5496"/>
          <w:sz w:val="24"/>
          <w:szCs w:val="24"/>
        </w:rPr>
        <w:t xml:space="preserve">Point 2 — Dataset description</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Reconstruct the dataset description by reporting source-wise image counts, class distributions, patient provenance, MRI sequences, acquisition parameters, image orientation, contrast status, and inclusion/exclusion criteria.</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Section 3.1 is rebuilt from the source repositories rather than from the redistributed benchmark, which is a mutable record: the release used in our original submission contained 7,023 images and the current release contains 7,200. Every image in each repository was indexed programmatically, and for the Figshare collection we read the original .mat archives, recovering the patient identifier, diagnostic label and tumour mask for all 3,064 slices.</w:t>
      </w:r>
    </w:p>
    <w:p>
      <w:pPr>
        <w:spacing w:after="120"/>
      </w:pPr>
      <w:r>
        <w:rPr>
          <w:sz w:val="16"/>
          <w:szCs w:val="16"/>
        </w:rPr>
        <w:t xml:space="preserve"/>
      </w:r>
    </w:p>
    <w:p>
      <w:pPr>
        <w:spacing w:after="120" w:line="276"/>
      </w:pPr>
      <w:r>
        <w:rPr>
          <w:rFonts w:ascii="Calibri" w:cs="Calibri" w:eastAsia="Calibri" w:hAnsi="Calibri"/>
          <w:b/>
          <w:bCs/>
          <w:sz w:val="20"/>
          <w:szCs w:val="20"/>
        </w:rPr>
        <w:t xml:space="preserve">Table R2. Source composition (extract; full table in the manuscript).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36"/>
        <w:gridCol w:w="1030"/>
        <w:gridCol w:w="936"/>
        <w:gridCol w:w="1217"/>
        <w:gridCol w:w="1030"/>
        <w:gridCol w:w="1404"/>
        <w:gridCol w:w="562"/>
        <w:gridCol w:w="560"/>
      </w:tblGrid>
      <w:tr>
        <w:trPr>
          <w:tblHeader/>
        </w:trPr>
        <w:tc>
          <w:tcPr>
            <w:tcW w:type="dxa" w:w="1685"/>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Source</w:t>
            </w:r>
          </w:p>
        </w:tc>
        <w:tc>
          <w:tcPr>
            <w:tcW w:type="dxa" w:w="936"/>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Files</w:t>
            </w:r>
          </w:p>
        </w:tc>
        <w:tc>
          <w:tcPr>
            <w:tcW w:type="dxa" w:w="1030"/>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Retained</w:t>
            </w:r>
          </w:p>
        </w:tc>
        <w:tc>
          <w:tcPr>
            <w:tcW w:type="dxa" w:w="936"/>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Patients</w:t>
            </w:r>
          </w:p>
        </w:tc>
        <w:tc>
          <w:tcPr>
            <w:tcW w:type="dxa" w:w="1217"/>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Sequence</w:t>
            </w:r>
          </w:p>
        </w:tc>
        <w:tc>
          <w:tcPr>
            <w:tcW w:type="dxa" w:w="1030"/>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Contrast</w:t>
            </w:r>
          </w:p>
        </w:tc>
        <w:tc>
          <w:tcPr>
            <w:tcW w:type="dxa" w:w="1404"/>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Native size</w:t>
            </w:r>
          </w:p>
        </w:tc>
        <w:tc>
          <w:tcPr>
            <w:tcW w:type="dxa" w:w="562"/>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PID</w:t>
            </w:r>
          </w:p>
        </w:tc>
        <w:tc>
          <w:tcPr>
            <w:tcW w:type="dxa" w:w="560"/>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Mask</w:t>
            </w:r>
          </w:p>
        </w:tc>
      </w:tr>
      <w:tr>
        <w:tc>
          <w:tcPr>
            <w:tcW w:type="dxa" w:w="1685"/>
            <w:tcMar>
              <w:top w:type="dxa" w:w="60"/>
              <w:left w:type="dxa" w:w="90"/>
              <w:bottom w:type="dxa" w:w="60"/>
              <w:right w:type="dxa" w:w="90"/>
            </w:tcMar>
          </w:tcPr>
          <w:p>
            <w:pPr>
              <w:spacing w:after="0" w:line="240"/>
            </w:pPr>
            <w:r>
              <w:rPr>
                <w:rFonts w:ascii="Calibri" w:cs="Calibri" w:eastAsia="Calibri" w:hAnsi="Calibri"/>
                <w:sz w:val="19"/>
                <w:szCs w:val="19"/>
              </w:rPr>
              <w:t xml:space="preserve">Figshare (Cheng)</w:t>
            </w:r>
          </w:p>
        </w:tc>
        <w:tc>
          <w:tcPr>
            <w:tcW w:type="dxa" w:w="936"/>
            <w:tcMar>
              <w:top w:type="dxa" w:w="60"/>
              <w:left w:type="dxa" w:w="90"/>
              <w:bottom w:type="dxa" w:w="60"/>
              <w:right w:type="dxa" w:w="90"/>
            </w:tcMar>
          </w:tcPr>
          <w:p>
            <w:pPr>
              <w:spacing w:after="0" w:line="240"/>
              <w:jc w:val="center"/>
            </w:pPr>
            <w:r>
              <w:rPr>
                <w:rFonts w:ascii="Calibri" w:cs="Calibri" w:eastAsia="Calibri" w:hAnsi="Calibri"/>
                <w:sz w:val="19"/>
                <w:szCs w:val="19"/>
              </w:rPr>
              <w:t xml:space="preserve">3,064</w:t>
            </w:r>
          </w:p>
        </w:tc>
        <w:tc>
          <w:tcPr>
            <w:tcW w:type="dxa" w:w="1030"/>
            <w:tcMar>
              <w:top w:type="dxa" w:w="60"/>
              <w:left w:type="dxa" w:w="90"/>
              <w:bottom w:type="dxa" w:w="60"/>
              <w:right w:type="dxa" w:w="90"/>
            </w:tcMar>
          </w:tcPr>
          <w:p>
            <w:pPr>
              <w:spacing w:after="0" w:line="240"/>
              <w:jc w:val="center"/>
            </w:pPr>
            <w:r>
              <w:rPr>
                <w:rFonts w:ascii="Calibri" w:cs="Calibri" w:eastAsia="Calibri" w:hAnsi="Calibri"/>
                <w:sz w:val="19"/>
                <w:szCs w:val="19"/>
              </w:rPr>
              <w:t xml:space="preserve">3,038</w:t>
            </w:r>
          </w:p>
        </w:tc>
        <w:tc>
          <w:tcPr>
            <w:tcW w:type="dxa" w:w="936"/>
            <w:tcMar>
              <w:top w:type="dxa" w:w="60"/>
              <w:left w:type="dxa" w:w="90"/>
              <w:bottom w:type="dxa" w:w="60"/>
              <w:right w:type="dxa" w:w="90"/>
            </w:tcMar>
          </w:tcPr>
          <w:p>
            <w:pPr>
              <w:spacing w:after="0" w:line="240"/>
              <w:jc w:val="center"/>
            </w:pPr>
            <w:r>
              <w:rPr>
                <w:rFonts w:ascii="Calibri" w:cs="Calibri" w:eastAsia="Calibri" w:hAnsi="Calibri"/>
                <w:sz w:val="19"/>
                <w:szCs w:val="19"/>
              </w:rPr>
              <w:t xml:space="preserve">233</w:t>
            </w:r>
          </w:p>
        </w:tc>
        <w:tc>
          <w:tcPr>
            <w:tcW w:type="dxa" w:w="1217"/>
            <w:tcMar>
              <w:top w:type="dxa" w:w="60"/>
              <w:left w:type="dxa" w:w="90"/>
              <w:bottom w:type="dxa" w:w="60"/>
              <w:right w:type="dxa" w:w="90"/>
            </w:tcMar>
          </w:tcPr>
          <w:p>
            <w:pPr>
              <w:spacing w:after="0" w:line="240"/>
              <w:jc w:val="center"/>
            </w:pPr>
            <w:r>
              <w:rPr>
                <w:rFonts w:ascii="Calibri" w:cs="Calibri" w:eastAsia="Calibri" w:hAnsi="Calibri"/>
                <w:sz w:val="19"/>
                <w:szCs w:val="19"/>
              </w:rPr>
              <w:t xml:space="preserve">T1-weighted</w:t>
            </w:r>
          </w:p>
        </w:tc>
        <w:tc>
          <w:tcPr>
            <w:tcW w:type="dxa" w:w="1030"/>
            <w:tcMar>
              <w:top w:type="dxa" w:w="60"/>
              <w:left w:type="dxa" w:w="90"/>
              <w:bottom w:type="dxa" w:w="60"/>
              <w:right w:type="dxa" w:w="90"/>
            </w:tcMar>
          </w:tcPr>
          <w:p>
            <w:pPr>
              <w:spacing w:after="0" w:line="240"/>
              <w:jc w:val="center"/>
            </w:pPr>
            <w:r>
              <w:rPr>
                <w:rFonts w:ascii="Calibri" w:cs="Calibri" w:eastAsia="Calibri" w:hAnsi="Calibri"/>
                <w:sz w:val="19"/>
                <w:szCs w:val="19"/>
              </w:rPr>
              <w:t xml:space="preserve">Gd-DTPA</w:t>
            </w:r>
          </w:p>
        </w:tc>
        <w:tc>
          <w:tcPr>
            <w:tcW w:type="dxa" w:w="1404"/>
            <w:tcMar>
              <w:top w:type="dxa" w:w="60"/>
              <w:left w:type="dxa" w:w="90"/>
              <w:bottom w:type="dxa" w:w="60"/>
              <w:right w:type="dxa" w:w="90"/>
            </w:tcMar>
          </w:tcPr>
          <w:p>
            <w:pPr>
              <w:spacing w:after="0" w:line="240"/>
              <w:jc w:val="center"/>
            </w:pPr>
            <w:r>
              <w:rPr>
                <w:rFonts w:ascii="Calibri" w:cs="Calibri" w:eastAsia="Calibri" w:hAnsi="Calibri"/>
                <w:sz w:val="19"/>
                <w:szCs w:val="19"/>
              </w:rPr>
              <w:t xml:space="preserve">512×512</w:t>
            </w:r>
          </w:p>
        </w:tc>
        <w:tc>
          <w:tcPr>
            <w:tcW w:type="dxa" w:w="562"/>
            <w:tcMar>
              <w:top w:type="dxa" w:w="60"/>
              <w:left w:type="dxa" w:w="90"/>
              <w:bottom w:type="dxa" w:w="60"/>
              <w:right w:type="dxa" w:w="90"/>
            </w:tcMar>
          </w:tcPr>
          <w:p>
            <w:pPr>
              <w:spacing w:after="0" w:line="240"/>
              <w:jc w:val="center"/>
            </w:pPr>
            <w:r>
              <w:rPr>
                <w:rFonts w:ascii="Calibri" w:cs="Calibri" w:eastAsia="Calibri" w:hAnsi="Calibri"/>
                <w:sz w:val="19"/>
                <w:szCs w:val="19"/>
              </w:rPr>
              <w:t xml:space="preserve">Yes</w:t>
            </w:r>
          </w:p>
        </w:tc>
        <w:tc>
          <w:tcPr>
            <w:tcW w:type="dxa" w:w="560"/>
            <w:tcMar>
              <w:top w:type="dxa" w:w="60"/>
              <w:left w:type="dxa" w:w="90"/>
              <w:bottom w:type="dxa" w:w="60"/>
              <w:right w:type="dxa" w:w="90"/>
            </w:tcMar>
          </w:tcPr>
          <w:p>
            <w:pPr>
              <w:spacing w:after="0" w:line="240"/>
              <w:jc w:val="center"/>
            </w:pPr>
            <w:r>
              <w:rPr>
                <w:rFonts w:ascii="Calibri" w:cs="Calibri" w:eastAsia="Calibri" w:hAnsi="Calibri"/>
                <w:sz w:val="19"/>
                <w:szCs w:val="19"/>
              </w:rPr>
              <w:t xml:space="preserve">Yes</w:t>
            </w:r>
          </w:p>
        </w:tc>
      </w:tr>
      <w:tr>
        <w:tc>
          <w:tcPr>
            <w:tcW w:type="dxa" w:w="1685"/>
            <w:tcMar>
              <w:top w:type="dxa" w:w="60"/>
              <w:left w:type="dxa" w:w="90"/>
              <w:bottom w:type="dxa" w:w="60"/>
              <w:right w:type="dxa" w:w="90"/>
            </w:tcMar>
          </w:tcPr>
          <w:p>
            <w:pPr>
              <w:spacing w:after="0" w:line="240"/>
            </w:pPr>
            <w:r>
              <w:rPr>
                <w:rFonts w:ascii="Calibri" w:cs="Calibri" w:eastAsia="Calibri" w:hAnsi="Calibri"/>
                <w:sz w:val="19"/>
                <w:szCs w:val="19"/>
              </w:rPr>
              <w:t xml:space="preserve">SARTAJ</w:t>
            </w:r>
          </w:p>
        </w:tc>
        <w:tc>
          <w:tcPr>
            <w:tcW w:type="dxa" w:w="936"/>
            <w:tcMar>
              <w:top w:type="dxa" w:w="60"/>
              <w:left w:type="dxa" w:w="90"/>
              <w:bottom w:type="dxa" w:w="60"/>
              <w:right w:type="dxa" w:w="90"/>
            </w:tcMar>
          </w:tcPr>
          <w:p>
            <w:pPr>
              <w:spacing w:after="0" w:line="240"/>
              <w:jc w:val="center"/>
            </w:pPr>
            <w:r>
              <w:rPr>
                <w:rFonts w:ascii="Calibri" w:cs="Calibri" w:eastAsia="Calibri" w:hAnsi="Calibri"/>
                <w:sz w:val="19"/>
                <w:szCs w:val="19"/>
              </w:rPr>
              <w:t xml:space="preserve">3,264</w:t>
            </w:r>
          </w:p>
        </w:tc>
        <w:tc>
          <w:tcPr>
            <w:tcW w:type="dxa" w:w="1030"/>
            <w:tcMar>
              <w:top w:type="dxa" w:w="60"/>
              <w:left w:type="dxa" w:w="90"/>
              <w:bottom w:type="dxa" w:w="60"/>
              <w:right w:type="dxa" w:w="90"/>
            </w:tcMar>
          </w:tcPr>
          <w:p>
            <w:pPr>
              <w:spacing w:after="0" w:line="240"/>
              <w:jc w:val="center"/>
            </w:pPr>
            <w:r>
              <w:rPr>
                <w:rFonts w:ascii="Calibri" w:cs="Calibri" w:eastAsia="Calibri" w:hAnsi="Calibri"/>
                <w:sz w:val="19"/>
                <w:szCs w:val="19"/>
              </w:rPr>
              <w:t xml:space="preserve">168</w:t>
            </w:r>
          </w:p>
        </w:tc>
        <w:tc>
          <w:tcPr>
            <w:tcW w:type="dxa" w:w="936"/>
            <w:tcMar>
              <w:top w:type="dxa" w:w="60"/>
              <w:left w:type="dxa" w:w="90"/>
              <w:bottom w:type="dxa" w:w="60"/>
              <w:right w:type="dxa" w:w="90"/>
            </w:tcMar>
          </w:tcPr>
          <w:p>
            <w:pPr>
              <w:spacing w:after="0" w:line="240"/>
              <w:jc w:val="center"/>
            </w:pPr>
            <w:r>
              <w:rPr>
                <w:rFonts w:ascii="Calibri" w:cs="Calibri" w:eastAsia="Calibri" w:hAnsi="Calibri"/>
                <w:sz w:val="19"/>
                <w:szCs w:val="19"/>
              </w:rPr>
              <w:t xml:space="preserve">NR</w:t>
            </w:r>
          </w:p>
        </w:tc>
        <w:tc>
          <w:tcPr>
            <w:tcW w:type="dxa" w:w="1217"/>
            <w:tcMar>
              <w:top w:type="dxa" w:w="60"/>
              <w:left w:type="dxa" w:w="90"/>
              <w:bottom w:type="dxa" w:w="60"/>
              <w:right w:type="dxa" w:w="90"/>
            </w:tcMar>
          </w:tcPr>
          <w:p>
            <w:pPr>
              <w:spacing w:after="0" w:line="240"/>
              <w:jc w:val="center"/>
            </w:pPr>
            <w:r>
              <w:rPr>
                <w:rFonts w:ascii="Calibri" w:cs="Calibri" w:eastAsia="Calibri" w:hAnsi="Calibri"/>
                <w:sz w:val="19"/>
                <w:szCs w:val="19"/>
              </w:rPr>
              <w:t xml:space="preserve">NR</w:t>
            </w:r>
          </w:p>
        </w:tc>
        <w:tc>
          <w:tcPr>
            <w:tcW w:type="dxa" w:w="1030"/>
            <w:tcMar>
              <w:top w:type="dxa" w:w="60"/>
              <w:left w:type="dxa" w:w="90"/>
              <w:bottom w:type="dxa" w:w="60"/>
              <w:right w:type="dxa" w:w="90"/>
            </w:tcMar>
          </w:tcPr>
          <w:p>
            <w:pPr>
              <w:spacing w:after="0" w:line="240"/>
              <w:jc w:val="center"/>
            </w:pPr>
            <w:r>
              <w:rPr>
                <w:rFonts w:ascii="Calibri" w:cs="Calibri" w:eastAsia="Calibri" w:hAnsi="Calibri"/>
                <w:sz w:val="19"/>
                <w:szCs w:val="19"/>
              </w:rPr>
              <w:t xml:space="preserve">NR</w:t>
            </w:r>
          </w:p>
        </w:tc>
        <w:tc>
          <w:tcPr>
            <w:tcW w:type="dxa" w:w="1404"/>
            <w:tcMar>
              <w:top w:type="dxa" w:w="60"/>
              <w:left w:type="dxa" w:w="90"/>
              <w:bottom w:type="dxa" w:w="60"/>
              <w:right w:type="dxa" w:w="90"/>
            </w:tcMar>
          </w:tcPr>
          <w:p>
            <w:pPr>
              <w:spacing w:after="0" w:line="240"/>
              <w:jc w:val="center"/>
            </w:pPr>
            <w:r>
              <w:rPr>
                <w:rFonts w:ascii="Calibri" w:cs="Calibri" w:eastAsia="Calibri" w:hAnsi="Calibri"/>
                <w:sz w:val="19"/>
                <w:szCs w:val="19"/>
              </w:rPr>
              <w:t xml:space="preserve">Variable (440)</w:t>
            </w:r>
          </w:p>
        </w:tc>
        <w:tc>
          <w:tcPr>
            <w:tcW w:type="dxa" w:w="562"/>
            <w:tcMar>
              <w:top w:type="dxa" w:w="60"/>
              <w:left w:type="dxa" w:w="90"/>
              <w:bottom w:type="dxa" w:w="60"/>
              <w:right w:type="dxa" w:w="90"/>
            </w:tcMar>
          </w:tcPr>
          <w:p>
            <w:pPr>
              <w:spacing w:after="0" w:line="240"/>
              <w:jc w:val="center"/>
            </w:pPr>
            <w:r>
              <w:rPr>
                <w:rFonts w:ascii="Calibri" w:cs="Calibri" w:eastAsia="Calibri" w:hAnsi="Calibri"/>
                <w:sz w:val="19"/>
                <w:szCs w:val="19"/>
              </w:rPr>
              <w:t xml:space="preserve">No</w:t>
            </w:r>
          </w:p>
        </w:tc>
        <w:tc>
          <w:tcPr>
            <w:tcW w:type="dxa" w:w="560"/>
            <w:tcMar>
              <w:top w:type="dxa" w:w="60"/>
              <w:left w:type="dxa" w:w="90"/>
              <w:bottom w:type="dxa" w:w="60"/>
              <w:right w:type="dxa" w:w="90"/>
            </w:tcMar>
          </w:tcPr>
          <w:p>
            <w:pPr>
              <w:spacing w:after="0" w:line="240"/>
              <w:jc w:val="center"/>
            </w:pPr>
            <w:r>
              <w:rPr>
                <w:rFonts w:ascii="Calibri" w:cs="Calibri" w:eastAsia="Calibri" w:hAnsi="Calibri"/>
                <w:sz w:val="19"/>
                <w:szCs w:val="19"/>
              </w:rPr>
              <w:t xml:space="preserve">No</w:t>
            </w:r>
          </w:p>
        </w:tc>
      </w:tr>
      <w:tr>
        <w:tc>
          <w:tcPr>
            <w:tcW w:type="dxa" w:w="1685"/>
            <w:tcMar>
              <w:top w:type="dxa" w:w="60"/>
              <w:left w:type="dxa" w:w="90"/>
              <w:bottom w:type="dxa" w:w="60"/>
              <w:right w:type="dxa" w:w="90"/>
            </w:tcMar>
          </w:tcPr>
          <w:p>
            <w:pPr>
              <w:spacing w:after="0" w:line="240"/>
            </w:pPr>
            <w:r>
              <w:rPr>
                <w:rFonts w:ascii="Calibri" w:cs="Calibri" w:eastAsia="Calibri" w:hAnsi="Calibri"/>
                <w:sz w:val="19"/>
                <w:szCs w:val="19"/>
              </w:rPr>
              <w:t xml:space="preserve">BR35H</w:t>
            </w:r>
          </w:p>
        </w:tc>
        <w:tc>
          <w:tcPr>
            <w:tcW w:type="dxa" w:w="936"/>
            <w:tcMar>
              <w:top w:type="dxa" w:w="60"/>
              <w:left w:type="dxa" w:w="90"/>
              <w:bottom w:type="dxa" w:w="60"/>
              <w:right w:type="dxa" w:w="90"/>
            </w:tcMar>
          </w:tcPr>
          <w:p>
            <w:pPr>
              <w:spacing w:after="0" w:line="240"/>
              <w:jc w:val="center"/>
            </w:pPr>
            <w:r>
              <w:rPr>
                <w:rFonts w:ascii="Calibri" w:cs="Calibri" w:eastAsia="Calibri" w:hAnsi="Calibri"/>
                <w:sz w:val="19"/>
                <w:szCs w:val="19"/>
              </w:rPr>
              <w:t xml:space="preserve">3,000</w:t>
            </w:r>
          </w:p>
        </w:tc>
        <w:tc>
          <w:tcPr>
            <w:tcW w:type="dxa" w:w="1030"/>
            <w:tcMar>
              <w:top w:type="dxa" w:w="60"/>
              <w:left w:type="dxa" w:w="90"/>
              <w:bottom w:type="dxa" w:w="60"/>
              <w:right w:type="dxa" w:w="90"/>
            </w:tcMar>
          </w:tcPr>
          <w:p>
            <w:pPr>
              <w:spacing w:after="0" w:line="240"/>
              <w:jc w:val="center"/>
            </w:pPr>
            <w:r>
              <w:rPr>
                <w:rFonts w:ascii="Calibri" w:cs="Calibri" w:eastAsia="Calibri" w:hAnsi="Calibri"/>
                <w:sz w:val="19"/>
                <w:szCs w:val="19"/>
              </w:rPr>
              <w:t xml:space="preserve">607</w:t>
            </w:r>
          </w:p>
        </w:tc>
        <w:tc>
          <w:tcPr>
            <w:tcW w:type="dxa" w:w="936"/>
            <w:tcMar>
              <w:top w:type="dxa" w:w="60"/>
              <w:left w:type="dxa" w:w="90"/>
              <w:bottom w:type="dxa" w:w="60"/>
              <w:right w:type="dxa" w:w="90"/>
            </w:tcMar>
          </w:tcPr>
          <w:p>
            <w:pPr>
              <w:spacing w:after="0" w:line="240"/>
              <w:jc w:val="center"/>
            </w:pPr>
            <w:r>
              <w:rPr>
                <w:rFonts w:ascii="Calibri" w:cs="Calibri" w:eastAsia="Calibri" w:hAnsi="Calibri"/>
                <w:sz w:val="19"/>
                <w:szCs w:val="19"/>
              </w:rPr>
              <w:t xml:space="preserve">NR</w:t>
            </w:r>
          </w:p>
        </w:tc>
        <w:tc>
          <w:tcPr>
            <w:tcW w:type="dxa" w:w="1217"/>
            <w:tcMar>
              <w:top w:type="dxa" w:w="60"/>
              <w:left w:type="dxa" w:w="90"/>
              <w:bottom w:type="dxa" w:w="60"/>
              <w:right w:type="dxa" w:w="90"/>
            </w:tcMar>
          </w:tcPr>
          <w:p>
            <w:pPr>
              <w:spacing w:after="0" w:line="240"/>
              <w:jc w:val="center"/>
            </w:pPr>
            <w:r>
              <w:rPr>
                <w:rFonts w:ascii="Calibri" w:cs="Calibri" w:eastAsia="Calibri" w:hAnsi="Calibri"/>
                <w:sz w:val="19"/>
                <w:szCs w:val="19"/>
              </w:rPr>
              <w:t xml:space="preserve">NR</w:t>
            </w:r>
          </w:p>
        </w:tc>
        <w:tc>
          <w:tcPr>
            <w:tcW w:type="dxa" w:w="1030"/>
            <w:tcMar>
              <w:top w:type="dxa" w:w="60"/>
              <w:left w:type="dxa" w:w="90"/>
              <w:bottom w:type="dxa" w:w="60"/>
              <w:right w:type="dxa" w:w="90"/>
            </w:tcMar>
          </w:tcPr>
          <w:p>
            <w:pPr>
              <w:spacing w:after="0" w:line="240"/>
              <w:jc w:val="center"/>
            </w:pPr>
            <w:r>
              <w:rPr>
                <w:rFonts w:ascii="Calibri" w:cs="Calibri" w:eastAsia="Calibri" w:hAnsi="Calibri"/>
                <w:sz w:val="19"/>
                <w:szCs w:val="19"/>
              </w:rPr>
              <w:t xml:space="preserve">NR</w:t>
            </w:r>
          </w:p>
        </w:tc>
        <w:tc>
          <w:tcPr>
            <w:tcW w:type="dxa" w:w="1404"/>
            <w:tcMar>
              <w:top w:type="dxa" w:w="60"/>
              <w:left w:type="dxa" w:w="90"/>
              <w:bottom w:type="dxa" w:w="60"/>
              <w:right w:type="dxa" w:w="90"/>
            </w:tcMar>
          </w:tcPr>
          <w:p>
            <w:pPr>
              <w:spacing w:after="0" w:line="240"/>
              <w:jc w:val="center"/>
            </w:pPr>
            <w:r>
              <w:rPr>
                <w:rFonts w:ascii="Calibri" w:cs="Calibri" w:eastAsia="Calibri" w:hAnsi="Calibri"/>
                <w:sz w:val="19"/>
                <w:szCs w:val="19"/>
              </w:rPr>
              <w:t xml:space="preserve">Variable (291)</w:t>
            </w:r>
          </w:p>
        </w:tc>
        <w:tc>
          <w:tcPr>
            <w:tcW w:type="dxa" w:w="562"/>
            <w:tcMar>
              <w:top w:type="dxa" w:w="60"/>
              <w:left w:type="dxa" w:w="90"/>
              <w:bottom w:type="dxa" w:w="60"/>
              <w:right w:type="dxa" w:w="90"/>
            </w:tcMar>
          </w:tcPr>
          <w:p>
            <w:pPr>
              <w:spacing w:after="0" w:line="240"/>
              <w:jc w:val="center"/>
            </w:pPr>
            <w:r>
              <w:rPr>
                <w:rFonts w:ascii="Calibri" w:cs="Calibri" w:eastAsia="Calibri" w:hAnsi="Calibri"/>
                <w:sz w:val="19"/>
                <w:szCs w:val="19"/>
              </w:rPr>
              <w:t xml:space="preserve">No</w:t>
            </w:r>
          </w:p>
        </w:tc>
        <w:tc>
          <w:tcPr>
            <w:tcW w:type="dxa" w:w="560"/>
            <w:tcMar>
              <w:top w:type="dxa" w:w="60"/>
              <w:left w:type="dxa" w:w="90"/>
              <w:bottom w:type="dxa" w:w="60"/>
              <w:right w:type="dxa" w:w="90"/>
            </w:tcMar>
          </w:tcPr>
          <w:p>
            <w:pPr>
              <w:spacing w:after="0" w:line="240"/>
              <w:jc w:val="center"/>
            </w:pPr>
            <w:r>
              <w:rPr>
                <w:rFonts w:ascii="Calibri" w:cs="Calibri" w:eastAsia="Calibri" w:hAnsi="Calibri"/>
                <w:sz w:val="19"/>
                <w:szCs w:val="19"/>
              </w:rPr>
              <w:t xml:space="preserve">No</w:t>
            </w:r>
          </w:p>
        </w:tc>
      </w:tr>
    </w:tbl>
    <w:p>
      <w:pPr>
        <w:spacing w:after="120"/>
      </w:pPr>
      <w:r>
        <w:rPr>
          <w:sz w:val="16"/>
          <w:szCs w:val="16"/>
        </w:rPr>
        <w:t xml:space="preserve"/>
      </w:r>
    </w:p>
    <w:p>
      <w:pPr>
        <w:spacing w:after="120" w:line="276"/>
      </w:pPr>
      <w:r>
        <w:rPr>
          <w:rFonts w:ascii="Calibri" w:cs="Calibri" w:eastAsia="Calibri" w:hAnsi="Calibri"/>
          <w:sz w:val="22"/>
          <w:szCs w:val="22"/>
        </w:rPr>
        <w:t xml:space="preserve">NR = not reported by the originating repository. For Figshare the originating publication additionally reports in-plane pixel spacing of 0.49 × 0.49 mm², slice thickness 6 mm, inter-slice gap 1 mm, and gadopentetate dimeglumine at 0.1 mmol/kg administered at 2 mL/s, with acquisition at two hospitals between 2005 and 2010. No comparable information is published for the other two repositories.</w:t>
      </w:r>
    </w:p>
    <w:p>
      <w:pPr>
        <w:spacing w:after="120" w:line="276"/>
      </w:pPr>
      <w:r>
        <w:rPr>
          <w:rFonts w:ascii="Calibri" w:cs="Calibri" w:eastAsia="Calibri" w:hAnsi="Calibri"/>
          <w:sz w:val="22"/>
          <w:szCs w:val="22"/>
        </w:rPr>
        <w:t xml:space="preserve">We have not inferred acquisition parameters from image appearance. The BR35H images exhibit visibly different intensity and contrast characteristics from the Figshare subset, but we do not translate that observation into sequence assignments; what can be established quantitatively is the repository-separability result reported under Point 1.</w:t>
      </w:r>
    </w:p>
    <w:p>
      <w:pPr>
        <w:spacing w:after="120" w:line="276"/>
      </w:pPr>
      <w:r>
        <w:rPr>
          <w:rFonts w:ascii="Calibri" w:cs="Calibri" w:eastAsia="Calibri" w:hAnsi="Calibri"/>
          <w:sz w:val="22"/>
          <w:szCs w:val="22"/>
        </w:rPr>
        <w:t xml:space="preserve">Two corrections to the original description follow. It stated that all images were natively 512×512, which holds only for the Figshare subset; and it described three independent repositories, which the deduplication analysis under Point 3 contradicts.</w:t>
      </w:r>
    </w:p>
    <w:p>
      <w:pPr>
        <w:spacing w:after="120"/>
      </w:pPr>
      <w:r>
        <w:rPr>
          <w:sz w:val="16"/>
          <w:szCs w:val="16"/>
        </w:rPr>
        <w:t xml:space="preserve"/>
      </w:r>
    </w:p>
    <w:p>
      <w:pPr>
        <w:spacing w:after="120" w:line="276"/>
      </w:pPr>
      <w:r>
        <w:rPr>
          <w:rFonts w:ascii="Calibri" w:cs="Calibri" w:eastAsia="Calibri" w:hAnsi="Calibri"/>
          <w:b/>
          <w:bCs/>
          <w:sz w:val="20"/>
          <w:szCs w:val="20"/>
        </w:rPr>
        <w:t xml:space="preserve">Inclusion and exclusion criteria, each with the evidence that motivated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36"/>
        <w:gridCol w:w="918"/>
        <w:gridCol w:w="5506"/>
      </w:tblGrid>
      <w:tr>
        <w:trPr>
          <w:tblHeader/>
        </w:trPr>
        <w:tc>
          <w:tcPr>
            <w:tcW w:type="dxa" w:w="2936"/>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Excluded</w:t>
            </w:r>
          </w:p>
        </w:tc>
        <w:tc>
          <w:tcPr>
            <w:tcW w:type="dxa" w:w="918"/>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n</w:t>
            </w:r>
          </w:p>
        </w:tc>
        <w:tc>
          <w:tcPr>
            <w:tcW w:type="dxa" w:w="5506"/>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Reason</w:t>
            </w:r>
          </w:p>
        </w:tc>
      </w:tr>
      <w:tr>
        <w:tc>
          <w:tcPr>
            <w:tcW w:type="dxa" w:w="2936"/>
            <w:tcMar>
              <w:top w:type="dxa" w:w="60"/>
              <w:left w:type="dxa" w:w="90"/>
              <w:bottom w:type="dxa" w:w="60"/>
              <w:right w:type="dxa" w:w="90"/>
            </w:tcMar>
          </w:tcPr>
          <w:p>
            <w:pPr>
              <w:spacing w:after="0" w:line="240"/>
            </w:pPr>
            <w:r>
              <w:rPr>
                <w:rFonts w:ascii="Calibri" w:cs="Calibri" w:eastAsia="Calibri" w:hAnsi="Calibri"/>
                <w:sz w:val="19"/>
                <w:szCs w:val="19"/>
              </w:rPr>
              <w:t xml:space="preserve">SARTAJ glioma</w:t>
            </w:r>
          </w:p>
        </w:tc>
        <w:tc>
          <w:tcPr>
            <w:tcW w:type="dxa" w:w="918"/>
            <w:tcMar>
              <w:top w:type="dxa" w:w="60"/>
              <w:left w:type="dxa" w:w="90"/>
              <w:bottom w:type="dxa" w:w="60"/>
              <w:right w:type="dxa" w:w="90"/>
            </w:tcMar>
          </w:tcPr>
          <w:p>
            <w:pPr>
              <w:spacing w:after="0" w:line="240"/>
              <w:jc w:val="center"/>
            </w:pPr>
            <w:r>
              <w:rPr>
                <w:rFonts w:ascii="Calibri" w:cs="Calibri" w:eastAsia="Calibri" w:hAnsi="Calibri"/>
                <w:sz w:val="19"/>
                <w:szCs w:val="19"/>
              </w:rPr>
              <w:t xml:space="preserve">926</w:t>
            </w:r>
          </w:p>
        </w:tc>
        <w:tc>
          <w:tcPr>
            <w:tcW w:type="dxa" w:w="5506"/>
            <w:tcMar>
              <w:top w:type="dxa" w:w="60"/>
              <w:left w:type="dxa" w:w="90"/>
              <w:bottom w:type="dxa" w:w="60"/>
              <w:right w:type="dxa" w:w="90"/>
            </w:tcMar>
          </w:tcPr>
          <w:p>
            <w:pPr>
              <w:spacing w:after="0" w:line="240"/>
              <w:jc w:val="center"/>
            </w:pPr>
            <w:r>
              <w:rPr>
                <w:rFonts w:ascii="Calibri" w:cs="Calibri" w:eastAsia="Calibri" w:hAnsi="Calibri"/>
                <w:sz w:val="19"/>
                <w:szCs w:val="19"/>
              </w:rPr>
              <w:t xml:space="preserve">Documented labelling inconsistency; gliomas drawn from Figshare instead</w:t>
            </w:r>
          </w:p>
        </w:tc>
      </w:tr>
      <w:tr>
        <w:tc>
          <w:tcPr>
            <w:tcW w:type="dxa" w:w="2936"/>
            <w:tcMar>
              <w:top w:type="dxa" w:w="60"/>
              <w:left w:type="dxa" w:w="90"/>
              <w:bottom w:type="dxa" w:w="60"/>
              <w:right w:type="dxa" w:w="90"/>
            </w:tcMar>
          </w:tcPr>
          <w:p>
            <w:pPr>
              <w:spacing w:after="0" w:line="240"/>
            </w:pPr>
            <w:r>
              <w:rPr>
                <w:rFonts w:ascii="Calibri" w:cs="Calibri" w:eastAsia="Calibri" w:hAnsi="Calibri"/>
                <w:sz w:val="19"/>
                <w:szCs w:val="19"/>
              </w:rPr>
              <w:t xml:space="preserve">SARTAJ no-tumour</w:t>
            </w:r>
          </w:p>
        </w:tc>
        <w:tc>
          <w:tcPr>
            <w:tcW w:type="dxa" w:w="918"/>
            <w:tcMar>
              <w:top w:type="dxa" w:w="60"/>
              <w:left w:type="dxa" w:w="90"/>
              <w:bottom w:type="dxa" w:w="60"/>
              <w:right w:type="dxa" w:w="90"/>
            </w:tcMar>
          </w:tcPr>
          <w:p>
            <w:pPr>
              <w:spacing w:after="0" w:line="240"/>
              <w:jc w:val="center"/>
            </w:pPr>
            <w:r>
              <w:rPr>
                <w:rFonts w:ascii="Calibri" w:cs="Calibri" w:eastAsia="Calibri" w:hAnsi="Calibri"/>
                <w:sz w:val="19"/>
                <w:szCs w:val="19"/>
              </w:rPr>
              <w:t xml:space="preserve">500</w:t>
            </w:r>
          </w:p>
        </w:tc>
        <w:tc>
          <w:tcPr>
            <w:tcW w:type="dxa" w:w="5506"/>
            <w:tcMar>
              <w:top w:type="dxa" w:w="60"/>
              <w:left w:type="dxa" w:w="90"/>
              <w:bottom w:type="dxa" w:w="60"/>
              <w:right w:type="dxa" w:w="90"/>
            </w:tcMar>
          </w:tcPr>
          <w:p>
            <w:pPr>
              <w:spacing w:after="0" w:line="240"/>
              <w:jc w:val="center"/>
            </w:pPr>
            <w:r>
              <w:rPr>
                <w:rFonts w:ascii="Calibri" w:cs="Calibri" w:eastAsia="Calibri" w:hAnsi="Calibri"/>
                <w:sz w:val="19"/>
                <w:szCs w:val="19"/>
              </w:rPr>
              <w:t xml:space="preserve">500 files reduce to 352 unique file hashes (29.6% internally duplicated); 208 of the files, representing 120 distinct images, are byte-identical to images in BR35H</w:t>
            </w:r>
          </w:p>
        </w:tc>
      </w:tr>
      <w:tr>
        <w:tc>
          <w:tcPr>
            <w:tcW w:type="dxa" w:w="2936"/>
            <w:tcMar>
              <w:top w:type="dxa" w:w="60"/>
              <w:left w:type="dxa" w:w="90"/>
              <w:bottom w:type="dxa" w:w="60"/>
              <w:right w:type="dxa" w:w="90"/>
            </w:tcMar>
          </w:tcPr>
          <w:p>
            <w:pPr>
              <w:spacing w:after="0" w:line="240"/>
            </w:pPr>
            <w:r>
              <w:rPr>
                <w:rFonts w:ascii="Calibri" w:cs="Calibri" w:eastAsia="Calibri" w:hAnsi="Calibri"/>
                <w:sz w:val="19"/>
                <w:szCs w:val="19"/>
              </w:rPr>
              <w:t xml:space="preserve">BR35H yes</w:t>
            </w:r>
          </w:p>
        </w:tc>
        <w:tc>
          <w:tcPr>
            <w:tcW w:type="dxa" w:w="918"/>
            <w:tcMar>
              <w:top w:type="dxa" w:w="60"/>
              <w:left w:type="dxa" w:w="90"/>
              <w:bottom w:type="dxa" w:w="60"/>
              <w:right w:type="dxa" w:w="90"/>
            </w:tcMar>
          </w:tcPr>
          <w:p>
            <w:pPr>
              <w:spacing w:after="0" w:line="240"/>
              <w:jc w:val="center"/>
            </w:pPr>
            <w:r>
              <w:rPr>
                <w:rFonts w:ascii="Calibri" w:cs="Calibri" w:eastAsia="Calibri" w:hAnsi="Calibri"/>
                <w:sz w:val="19"/>
                <w:szCs w:val="19"/>
              </w:rPr>
              <w:t xml:space="preserve">1,500</w:t>
            </w:r>
          </w:p>
        </w:tc>
        <w:tc>
          <w:tcPr>
            <w:tcW w:type="dxa" w:w="5506"/>
            <w:tcMar>
              <w:top w:type="dxa" w:w="60"/>
              <w:left w:type="dxa" w:w="90"/>
              <w:bottom w:type="dxa" w:w="60"/>
              <w:right w:type="dxa" w:w="90"/>
            </w:tcMar>
          </w:tcPr>
          <w:p>
            <w:pPr>
              <w:spacing w:after="0" w:line="240"/>
              <w:jc w:val="center"/>
            </w:pPr>
            <w:r>
              <w:rPr>
                <w:rFonts w:ascii="Calibri" w:cs="Calibri" w:eastAsia="Calibri" w:hAnsi="Calibri"/>
                <w:sz w:val="19"/>
                <w:szCs w:val="19"/>
              </w:rPr>
              <w:t xml:space="preserve">Tumours of unspecified histology; cannot be assigned to a diagnostic class</w:t>
            </w:r>
          </w:p>
        </w:tc>
      </w:tr>
      <w:tr>
        <w:tc>
          <w:tcPr>
            <w:tcW w:type="dxa" w:w="2936"/>
            <w:tcMar>
              <w:top w:type="dxa" w:w="60"/>
              <w:left w:type="dxa" w:w="90"/>
              <w:bottom w:type="dxa" w:w="60"/>
              <w:right w:type="dxa" w:w="90"/>
            </w:tcMar>
          </w:tcPr>
          <w:p>
            <w:pPr>
              <w:spacing w:after="0" w:line="240"/>
            </w:pPr>
            <w:r>
              <w:rPr>
                <w:rFonts w:ascii="Calibri" w:cs="Calibri" w:eastAsia="Calibri" w:hAnsi="Calibri"/>
                <w:sz w:val="19"/>
                <w:szCs w:val="19"/>
              </w:rPr>
              <w:t xml:space="preserve">BR35H Br35H-Mask-RCNN</w:t>
            </w:r>
          </w:p>
        </w:tc>
        <w:tc>
          <w:tcPr>
            <w:tcW w:type="dxa" w:w="918"/>
            <w:tcMar>
              <w:top w:type="dxa" w:w="60"/>
              <w:left w:type="dxa" w:w="90"/>
              <w:bottom w:type="dxa" w:w="60"/>
              <w:right w:type="dxa" w:w="90"/>
            </w:tcMar>
          </w:tcPr>
          <w:p>
            <w:pPr>
              <w:spacing w:after="0" w:line="240"/>
              <w:jc w:val="center"/>
            </w:pPr>
            <w:r>
              <w:rPr>
                <w:rFonts w:ascii="Calibri" w:cs="Calibri" w:eastAsia="Calibri" w:hAnsi="Calibri"/>
                <w:sz w:val="19"/>
                <w:szCs w:val="19"/>
              </w:rPr>
              <w:t xml:space="preserve">801</w:t>
            </w:r>
          </w:p>
        </w:tc>
        <w:tc>
          <w:tcPr>
            <w:tcW w:type="dxa" w:w="5506"/>
            <w:tcMar>
              <w:top w:type="dxa" w:w="60"/>
              <w:left w:type="dxa" w:w="90"/>
              <w:bottom w:type="dxa" w:w="60"/>
              <w:right w:type="dxa" w:w="90"/>
            </w:tcMar>
          </w:tcPr>
          <w:p>
            <w:pPr>
              <w:spacing w:after="0" w:line="240"/>
              <w:jc w:val="center"/>
            </w:pPr>
            <w:r>
              <w:rPr>
                <w:rFonts w:ascii="Calibri" w:cs="Calibri" w:eastAsia="Calibri" w:hAnsi="Calibri"/>
                <w:sz w:val="19"/>
                <w:szCs w:val="19"/>
              </w:rPr>
              <w:t xml:space="preserve">Byte-identical repackaging of the yes folder for an object-detection task</w:t>
            </w:r>
          </w:p>
        </w:tc>
      </w:tr>
      <w:tr>
        <w:tc>
          <w:tcPr>
            <w:tcW w:type="dxa" w:w="2936"/>
            <w:tcMar>
              <w:top w:type="dxa" w:w="60"/>
              <w:left w:type="dxa" w:w="90"/>
              <w:bottom w:type="dxa" w:w="60"/>
              <w:right w:type="dxa" w:w="90"/>
            </w:tcMar>
          </w:tcPr>
          <w:p>
            <w:pPr>
              <w:spacing w:after="0" w:line="240"/>
            </w:pPr>
            <w:r>
              <w:rPr>
                <w:rFonts w:ascii="Calibri" w:cs="Calibri" w:eastAsia="Calibri" w:hAnsi="Calibri"/>
                <w:sz w:val="19"/>
                <w:szCs w:val="19"/>
              </w:rPr>
              <w:t xml:space="preserve">BR35H pred</w:t>
            </w:r>
          </w:p>
        </w:tc>
        <w:tc>
          <w:tcPr>
            <w:tcW w:type="dxa" w:w="918"/>
            <w:tcMar>
              <w:top w:type="dxa" w:w="60"/>
              <w:left w:type="dxa" w:w="90"/>
              <w:bottom w:type="dxa" w:w="60"/>
              <w:right w:type="dxa" w:w="90"/>
            </w:tcMar>
          </w:tcPr>
          <w:p>
            <w:pPr>
              <w:spacing w:after="0" w:line="240"/>
              <w:jc w:val="center"/>
            </w:pPr>
            <w:r>
              <w:rPr>
                <w:rFonts w:ascii="Calibri" w:cs="Calibri" w:eastAsia="Calibri" w:hAnsi="Calibri"/>
                <w:sz w:val="19"/>
                <w:szCs w:val="19"/>
              </w:rPr>
              <w:t xml:space="preserve">60</w:t>
            </w:r>
          </w:p>
        </w:tc>
        <w:tc>
          <w:tcPr>
            <w:tcW w:type="dxa" w:w="5506"/>
            <w:tcMar>
              <w:top w:type="dxa" w:w="60"/>
              <w:left w:type="dxa" w:w="90"/>
              <w:bottom w:type="dxa" w:w="60"/>
              <w:right w:type="dxa" w:w="90"/>
            </w:tcMar>
          </w:tcPr>
          <w:p>
            <w:pPr>
              <w:spacing w:after="0" w:line="240"/>
              <w:jc w:val="center"/>
            </w:pPr>
            <w:r>
              <w:rPr>
                <w:rFonts w:ascii="Calibri" w:cs="Calibri" w:eastAsia="Calibri" w:hAnsi="Calibri"/>
                <w:sz w:val="19"/>
                <w:szCs w:val="19"/>
              </w:rPr>
              <w:t xml:space="preserve">No ground-truth labels</w:t>
            </w:r>
          </w:p>
        </w:tc>
      </w:tr>
    </w:tbl>
    <w:p>
      <w:pPr>
        <w:pStyle w:val="Heading2"/>
        <w:spacing w:after="140" w:before="300"/>
      </w:pPr>
      <w:r>
        <w:rPr>
          <w:rFonts w:ascii="Calibri" w:cs="Calibri" w:eastAsia="Calibri" w:hAnsi="Calibri"/>
          <w:b/>
          <w:bCs/>
          <w:color w:val="2E5496"/>
          <w:sz w:val="24"/>
          <w:szCs w:val="24"/>
        </w:rPr>
        <w:t xml:space="preserve">Point 3 — Patient-level, source-aware splitting and duplicate removal</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Demonstrate patient-level, source-aware splitting and remove duplicate or near-duplicate images across the three repositories and between training, validation, and test sets.</w:t>
      </w:r>
    </w:p>
    <w:p>
      <w:pPr>
        <w:pStyle w:val="Heading3"/>
        <w:spacing w:after="100" w:before="220"/>
      </w:pPr>
      <w:r>
        <w:rPr>
          <w:rFonts w:ascii="Calibri" w:cs="Calibri" w:eastAsia="Calibri" w:hAnsi="Calibri"/>
          <w:b/>
          <w:bCs/>
          <w:sz w:val="22"/>
          <w:szCs w:val="22"/>
        </w:rPr>
        <w:t xml:space="preserve">Two thresholds, used for different purposes</w:t>
      </w:r>
    </w:p>
    <w:p>
      <w:pPr>
        <w:spacing w:after="120" w:line="276"/>
      </w:pPr>
      <w:r>
        <w:rPr>
          <w:rFonts w:ascii="Calibri" w:cs="Calibri" w:eastAsia="Calibri" w:hAnsi="Calibri"/>
          <w:sz w:val="22"/>
          <w:szCs w:val="22"/>
        </w:rPr>
        <w:t xml:space="preserve">A deduplication threshold of 2 bits, requiring agreement between both pHash and dHash, collapses near-identical redistributed copies of the same image. A separate, looser grouping threshold of 8 bits is applied afterwards to keep visually correlated but non-identical images within one partition. They are not interchangeable and are reported separately.</w:t>
      </w:r>
    </w:p>
    <w:p>
      <w:pPr>
        <w:spacing w:after="120" w:line="276"/>
      </w:pPr>
      <w:r>
        <w:rPr>
          <w:rFonts w:ascii="Calibri" w:cs="Calibri" w:eastAsia="Calibri" w:hAnsi="Calibri"/>
          <w:sz w:val="22"/>
          <w:szCs w:val="22"/>
        </w:rPr>
        <w:t xml:space="preserve">Exact hashing is insufficient: no byte-identical duplicate exists between the Figshare renders and their SARTAJ counterparts, yet 1,452 near-duplicate clusters span the two repositories.</w:t>
      </w:r>
    </w:p>
    <w:p>
      <w:pPr>
        <w:spacing w:after="120" w:line="276"/>
      </w:pPr>
      <w:r>
        <w:rPr>
          <w:rFonts w:ascii="Calibri" w:cs="Calibri" w:eastAsia="Calibri" w:hAnsi="Calibri"/>
          <w:sz w:val="22"/>
          <w:szCs w:val="22"/>
        </w:rPr>
        <w:t xml:space="preserve">The deduplication threshold was calibrated against an internal negative control. Glioma is drawn exclusively from Figshare and consists of distinct consecutive slices, so a correctly set threshold should remove almost none of it. At 2 bits, 8 of 1,426 glioma images (0.6%) are removed while the mixed-source classes lose 48.0% to 59.5%. That contrast is the evidence that the removals reflect genuine redundancy rather than perceptual-hash collision.</w:t>
      </w:r>
    </w:p>
    <w:p>
      <w:pPr>
        <w:spacing w:after="120" w:line="276"/>
      </w:pPr>
      <w:r>
        <w:rPr>
          <w:rFonts w:ascii="Calibri" w:cs="Calibri" w:eastAsia="Calibri" w:hAnsi="Calibri"/>
          <w:sz w:val="22"/>
          <w:szCs w:val="22"/>
        </w:rPr>
        <w:t xml:space="preserve">Of the 6,402 curated images, 2,589 (40.4%) are near-duplicates of another image and are collapsed to a single representative, leaving 3,813. Where a cluster spans repositories the Figshare member is retained, since it alone carries the patient identifier and tumour mask.</w:t>
      </w:r>
    </w:p>
    <w:p>
      <w:pPr>
        <w:pStyle w:val="Heading3"/>
        <w:spacing w:after="100" w:before="220"/>
      </w:pPr>
      <w:r>
        <w:rPr>
          <w:rFonts w:ascii="Calibri" w:cs="Calibri" w:eastAsia="Calibri" w:hAnsi="Calibri"/>
          <w:b/>
          <w:bCs/>
          <w:sz w:val="22"/>
          <w:szCs w:val="22"/>
        </w:rPr>
        <w:t xml:space="preserve">Patient-level grouping</w:t>
      </w:r>
    </w:p>
    <w:p>
      <w:pPr>
        <w:spacing w:after="120" w:line="276"/>
      </w:pPr>
      <w:r>
        <w:rPr>
          <w:rFonts w:ascii="Calibri" w:cs="Calibri" w:eastAsia="Calibri" w:hAnsi="Calibri"/>
          <w:sz w:val="22"/>
          <w:szCs w:val="22"/>
        </w:rPr>
        <w:t xml:space="preserve">Recovered identifiers give true patient grouping for 233 patients. Identifiers propagate across duplicate clusters, raising the proportion of images with a metadata-backed identifier from 47.9% to 71.2%. For images with no identifier in any release, near-duplicate clusters serve as pseudo-patient groups; where metadata states that two images belong to different patients, that statement overrides hash similarity, and 185 similarity edges were blocked on this basis. We describe these units as leakage-control groups, not patients, throughout.</w:t>
      </w:r>
    </w:p>
    <w:p>
      <w:pPr>
        <w:spacing w:after="120"/>
      </w:pPr>
      <w:r>
        <w:rPr>
          <w:sz w:val="16"/>
          <w:szCs w:val="16"/>
        </w:rPr>
        <w:t xml:space="preserve"/>
      </w:r>
    </w:p>
    <w:p>
      <w:pPr>
        <w:spacing w:after="120" w:line="276"/>
      </w:pPr>
      <w:r>
        <w:rPr>
          <w:rFonts w:ascii="Calibri" w:cs="Calibri" w:eastAsia="Calibri" w:hAnsi="Calibri"/>
          <w:b/>
          <w:bCs/>
          <w:sz w:val="20"/>
          <w:szCs w:val="20"/>
        </w:rPr>
        <w:t xml:space="preserve">Table R3. Correlated samples per independent unit (3,813 images, 721 leakage-control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rPr>
          <w:tblHeader/>
        </w:trPr>
        <w:tc>
          <w:tcPr>
            <w:tcW w:type="dxa" w:w="2808"/>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Class</w:t>
            </w:r>
          </w:p>
        </w:tc>
        <w:tc>
          <w:tcPr>
            <w:tcW w:type="dxa" w:w="1872"/>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Images</w:t>
            </w:r>
          </w:p>
        </w:tc>
        <w:tc>
          <w:tcPr>
            <w:tcW w:type="dxa" w:w="1872"/>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Groups</w:t>
            </w:r>
          </w:p>
        </w:tc>
        <w:tc>
          <w:tcPr>
            <w:tcW w:type="dxa" w:w="2808"/>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Images per group</w:t>
            </w:r>
          </w:p>
        </w:tc>
      </w:tr>
      <w:tr>
        <w:tc>
          <w:tcPr>
            <w:tcW w:type="dxa" w:w="2808"/>
            <w:tcMar>
              <w:top w:type="dxa" w:w="60"/>
              <w:left w:type="dxa" w:w="90"/>
              <w:bottom w:type="dxa" w:w="60"/>
              <w:right w:type="dxa" w:w="90"/>
            </w:tcMar>
          </w:tcPr>
          <w:p>
            <w:pPr>
              <w:spacing w:after="0" w:line="240"/>
            </w:pPr>
            <w:r>
              <w:rPr>
                <w:rFonts w:ascii="Calibri" w:cs="Calibri" w:eastAsia="Calibri" w:hAnsi="Calibri"/>
                <w:sz w:val="19"/>
                <w:szCs w:val="19"/>
              </w:rPr>
              <w:t xml:space="preserve">Glioma</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1,418</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89</w:t>
            </w:r>
          </w:p>
        </w:tc>
        <w:tc>
          <w:tcPr>
            <w:tcW w:type="dxa" w:w="2808"/>
            <w:tcMar>
              <w:top w:type="dxa" w:w="60"/>
              <w:left w:type="dxa" w:w="90"/>
              <w:bottom w:type="dxa" w:w="60"/>
              <w:right w:type="dxa" w:w="90"/>
            </w:tcMar>
          </w:tcPr>
          <w:p>
            <w:pPr>
              <w:spacing w:after="0" w:line="240"/>
              <w:jc w:val="center"/>
            </w:pPr>
            <w:r>
              <w:rPr>
                <w:rFonts w:ascii="Calibri" w:cs="Calibri" w:eastAsia="Calibri" w:hAnsi="Calibri"/>
                <w:sz w:val="19"/>
                <w:szCs w:val="19"/>
              </w:rPr>
              <w:t xml:space="preserve">15.9</w:t>
            </w:r>
          </w:p>
        </w:tc>
      </w:tr>
      <w:tr>
        <w:tc>
          <w:tcPr>
            <w:tcW w:type="dxa" w:w="2808"/>
            <w:tcMar>
              <w:top w:type="dxa" w:w="60"/>
              <w:left w:type="dxa" w:w="90"/>
              <w:bottom w:type="dxa" w:w="60"/>
              <w:right w:type="dxa" w:w="90"/>
            </w:tcMar>
          </w:tcPr>
          <w:p>
            <w:pPr>
              <w:spacing w:after="0" w:line="240"/>
            </w:pPr>
            <w:r>
              <w:rPr>
                <w:rFonts w:ascii="Calibri" w:cs="Calibri" w:eastAsia="Calibri" w:hAnsi="Calibri"/>
                <w:sz w:val="19"/>
                <w:szCs w:val="19"/>
              </w:rPr>
              <w:t xml:space="preserve">Pituitary</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953</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89</w:t>
            </w:r>
          </w:p>
        </w:tc>
        <w:tc>
          <w:tcPr>
            <w:tcW w:type="dxa" w:w="2808"/>
            <w:tcMar>
              <w:top w:type="dxa" w:w="60"/>
              <w:left w:type="dxa" w:w="90"/>
              <w:bottom w:type="dxa" w:w="60"/>
              <w:right w:type="dxa" w:w="90"/>
            </w:tcMar>
          </w:tcPr>
          <w:p>
            <w:pPr>
              <w:spacing w:after="0" w:line="240"/>
              <w:jc w:val="center"/>
            </w:pPr>
            <w:r>
              <w:rPr>
                <w:rFonts w:ascii="Calibri" w:cs="Calibri" w:eastAsia="Calibri" w:hAnsi="Calibri"/>
                <w:sz w:val="19"/>
                <w:szCs w:val="19"/>
              </w:rPr>
              <w:t xml:space="preserve">10.7</w:t>
            </w:r>
          </w:p>
        </w:tc>
      </w:tr>
      <w:tr>
        <w:tc>
          <w:tcPr>
            <w:tcW w:type="dxa" w:w="2808"/>
            <w:tcMar>
              <w:top w:type="dxa" w:w="60"/>
              <w:left w:type="dxa" w:w="90"/>
              <w:bottom w:type="dxa" w:w="60"/>
              <w:right w:type="dxa" w:w="90"/>
            </w:tcMar>
          </w:tcPr>
          <w:p>
            <w:pPr>
              <w:spacing w:after="0" w:line="240"/>
            </w:pPr>
            <w:r>
              <w:rPr>
                <w:rFonts w:ascii="Calibri" w:cs="Calibri" w:eastAsia="Calibri" w:hAnsi="Calibri"/>
                <w:sz w:val="19"/>
                <w:szCs w:val="19"/>
              </w:rPr>
              <w:t xml:space="preserve">Meningioma</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835</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204</w:t>
            </w:r>
          </w:p>
        </w:tc>
        <w:tc>
          <w:tcPr>
            <w:tcW w:type="dxa" w:w="2808"/>
            <w:tcMar>
              <w:top w:type="dxa" w:w="60"/>
              <w:left w:type="dxa" w:w="90"/>
              <w:bottom w:type="dxa" w:w="60"/>
              <w:right w:type="dxa" w:w="90"/>
            </w:tcMar>
          </w:tcPr>
          <w:p>
            <w:pPr>
              <w:spacing w:after="0" w:line="240"/>
              <w:jc w:val="center"/>
            </w:pPr>
            <w:r>
              <w:rPr>
                <w:rFonts w:ascii="Calibri" w:cs="Calibri" w:eastAsia="Calibri" w:hAnsi="Calibri"/>
                <w:sz w:val="19"/>
                <w:szCs w:val="19"/>
              </w:rPr>
              <w:t xml:space="preserve">4.1</w:t>
            </w:r>
          </w:p>
        </w:tc>
      </w:tr>
      <w:tr>
        <w:tc>
          <w:tcPr>
            <w:tcW w:type="dxa" w:w="2808"/>
            <w:tcMar>
              <w:top w:type="dxa" w:w="60"/>
              <w:left w:type="dxa" w:w="90"/>
              <w:bottom w:type="dxa" w:w="60"/>
              <w:right w:type="dxa" w:w="90"/>
            </w:tcMar>
          </w:tcPr>
          <w:p>
            <w:pPr>
              <w:spacing w:after="0" w:line="240"/>
            </w:pPr>
            <w:r>
              <w:rPr>
                <w:rFonts w:ascii="Calibri" w:cs="Calibri" w:eastAsia="Calibri" w:hAnsi="Calibri"/>
                <w:sz w:val="19"/>
                <w:szCs w:val="19"/>
              </w:rPr>
              <w:t xml:space="preserve">No tumour</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607</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339</w:t>
            </w:r>
          </w:p>
        </w:tc>
        <w:tc>
          <w:tcPr>
            <w:tcW w:type="dxa" w:w="2808"/>
            <w:tcMar>
              <w:top w:type="dxa" w:w="60"/>
              <w:left w:type="dxa" w:w="90"/>
              <w:bottom w:type="dxa" w:w="60"/>
              <w:right w:type="dxa" w:w="90"/>
            </w:tcMar>
          </w:tcPr>
          <w:p>
            <w:pPr>
              <w:spacing w:after="0" w:line="240"/>
              <w:jc w:val="center"/>
            </w:pPr>
            <w:r>
              <w:rPr>
                <w:rFonts w:ascii="Calibri" w:cs="Calibri" w:eastAsia="Calibri" w:hAnsi="Calibri"/>
                <w:sz w:val="19"/>
                <w:szCs w:val="19"/>
              </w:rPr>
              <w:t xml:space="preserve">1.8</w:t>
            </w:r>
          </w:p>
        </w:tc>
      </w:tr>
    </w:tbl>
    <w:p>
      <w:pPr>
        <w:spacing w:after="120"/>
      </w:pPr>
      <w:r>
        <w:rPr>
          <w:sz w:val="16"/>
          <w:szCs w:val="16"/>
        </w:rPr>
        <w:t xml:space="preserve"/>
      </w:r>
    </w:p>
    <w:p>
      <w:pPr>
        <w:spacing w:after="120" w:line="276"/>
      </w:pPr>
      <w:r>
        <w:rPr>
          <w:rFonts w:ascii="Calibri" w:cs="Calibri" w:eastAsia="Calibri" w:hAnsi="Calibri"/>
          <w:sz w:val="22"/>
          <w:szCs w:val="22"/>
        </w:rPr>
        <w:t xml:space="preserve">Measured directly on the image-level split rather than inferred from this table, 90.1% of test images have a same-group sibling in the corresponding training partition (3,437 of 3,813), 51.3% of groups span more than one fold, and 95.3% of the patients for whom identifiers exist appear in more than one fold. Under the group-disjoint split all three figures are zero by construction, and split generation aborts if they are not.</w:t>
      </w:r>
    </w:p>
    <w:p>
      <w:pPr>
        <w:pStyle w:val="Heading3"/>
        <w:spacing w:after="100" w:before="220"/>
      </w:pPr>
      <w:r>
        <w:rPr>
          <w:rFonts w:ascii="Calibri" w:cs="Calibri" w:eastAsia="Calibri" w:hAnsi="Calibri"/>
          <w:b/>
          <w:bCs/>
          <w:sz w:val="22"/>
          <w:szCs w:val="22"/>
        </w:rPr>
        <w:t xml:space="preserve">Leakage in the published redistribution</w:t>
      </w:r>
    </w:p>
    <w:p>
      <w:pPr>
        <w:spacing w:after="120" w:line="276"/>
      </w:pPr>
      <w:r>
        <w:rPr>
          <w:rFonts w:ascii="Calibri" w:cs="Calibri" w:eastAsia="Calibri" w:hAnsi="Calibri"/>
          <w:sz w:val="22"/>
          <w:szCs w:val="22"/>
        </w:rPr>
        <w:t xml:space="preserve">Matching the redistributed images to the Figshare collection at 4 bits recovered 1,829 images with 98.7% agreement between the recovered and the distributed class label, covering 212 patients. Of those, 123 (58%) contribute images to both the published training and testing folders, involving 1,306 images. This is a lower bound: only Figshare-derived images carry identifiers, so leakage among SARTAJ- and BR35H-derived images is not measurable rather than absent. The current release of the redistribution reports subsequent removal of duplicate images and of train–test overlap; we do not assert that this was its cause.</w:t>
      </w:r>
    </w:p>
    <w:p>
      <w:pPr>
        <w:pStyle w:val="Heading2"/>
        <w:spacing w:after="140" w:before="300"/>
      </w:pPr>
      <w:r>
        <w:rPr>
          <w:rFonts w:ascii="Calibri" w:cs="Calibri" w:eastAsia="Calibri" w:hAnsi="Calibri"/>
          <w:b/>
          <w:bCs/>
          <w:color w:val="2E5496"/>
          <w:sz w:val="24"/>
          <w:szCs w:val="24"/>
        </w:rPr>
        <w:t xml:space="preserve">Point 4 — Augmentation after the split, with class-wise counts</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Apply augmentation only after the original patient-level split and provide exact class-wise counts before and after augmentation for every partition.</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This is corrected. As reported under B4, the original implementation applied augmentation to the test directory and wrote the augmented images to disk.</w:t>
      </w:r>
    </w:p>
    <w:p>
      <w:pPr>
        <w:spacing w:after="120" w:line="276"/>
      </w:pPr>
      <w:r>
        <w:rPr>
          <w:rFonts w:ascii="Calibri" w:cs="Calibri" w:eastAsia="Calibri" w:hAnsi="Calibri"/>
          <w:sz w:val="22"/>
          <w:szCs w:val="22"/>
        </w:rPr>
        <w:t xml:space="preserve">Augmentation is now applied on the fly, during training only, to the training portion of each outer fold, after the group-disjoint split. No augmented image is written to disk, so counts before and after augmentation are identical by construction and no synthetic image can enter a validation or test partition. Exact class-wise counts for every partition of every fold are given in the supplement, with stored augmented files recorded as zero.</w:t>
      </w:r>
    </w:p>
    <w:p>
      <w:pPr>
        <w:spacing w:after="120" w:line="276"/>
      </w:pPr>
      <w:r>
        <w:rPr>
          <w:rFonts w:ascii="Calibri" w:cs="Calibri" w:eastAsia="Calibri" w:hAnsi="Calibri"/>
          <w:sz w:val="22"/>
          <w:szCs w:val="22"/>
        </w:rPr>
        <w:t xml:space="preserve">The augmentation is fully specified: random affine transformation (±15°, 5% translation, 0.9–1.1 scale), horizontal flip with probability 0.5, and brightness and contrast jitter of 0.15. Evaluation applies resizing and normalisation only. We note that horizontal flipping is not strictly anatomy-preserving for brain MRI; we retain it for continuity with prior work and state the choice rather than leaving it implicit. Class weighting rather than oversampling is used, because duplicating images within a group would further amplify the few patients contributing many slices.</w:t>
      </w:r>
    </w:p>
    <w:p>
      <w:pPr>
        <w:pStyle w:val="Heading2"/>
        <w:spacing w:after="140" w:before="300"/>
      </w:pPr>
      <w:r>
        <w:rPr>
          <w:rFonts w:ascii="Calibri" w:cs="Calibri" w:eastAsia="Calibri" w:hAnsi="Calibri"/>
          <w:b/>
          <w:bCs/>
          <w:color w:val="2E5496"/>
          <w:sz w:val="24"/>
          <w:szCs w:val="24"/>
        </w:rPr>
        <w:t xml:space="preserve">Point 5 — Nested, patient-grouped validation and an independent source-based test set</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Replace the current potentially optimistic evaluation with nested, patient-grouped validation and a genuinely independent source-based test set.</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We address the two requirements separately, because we satisfied the first and could not satisfy the second.</w:t>
      </w:r>
    </w:p>
    <w:p>
      <w:pPr>
        <w:pStyle w:val="Heading3"/>
        <w:spacing w:after="100" w:before="220"/>
      </w:pPr>
      <w:r>
        <w:rPr>
          <w:rFonts w:ascii="Calibri" w:cs="Calibri" w:eastAsia="Calibri" w:hAnsi="Calibri"/>
          <w:b/>
          <w:bCs/>
          <w:sz w:val="22"/>
          <w:szCs w:val="22"/>
        </w:rPr>
        <w:t xml:space="preserve">Nested group-disjoint validation</w:t>
      </w:r>
    </w:p>
    <w:p>
      <w:pPr>
        <w:spacing w:after="120" w:line="276"/>
      </w:pPr>
      <w:r>
        <w:rPr>
          <w:rFonts w:ascii="Calibri" w:cs="Calibri" w:eastAsia="Calibri" w:hAnsi="Calibri"/>
          <w:sz w:val="22"/>
          <w:szCs w:val="22"/>
        </w:rPr>
        <w:t xml:space="preserve">We describe the design as nested group-disjoint evaluation, using true patient identifiers where they exist and leakage-control groups otherwise, rather than as patient-grouped evaluation: identifiers are available for one of the three repositories only.</w:t>
      </w:r>
    </w:p>
    <w:p>
      <w:pPr>
        <w:spacing w:after="120" w:line="276"/>
      </w:pPr>
      <w:r>
        <w:rPr>
          <w:rFonts w:ascii="Calibri" w:cs="Calibri" w:eastAsia="Calibri" w:hAnsi="Calibri"/>
          <w:sz w:val="22"/>
          <w:szCs w:val="22"/>
        </w:rPr>
        <w:t xml:space="preserve">Evaluation uses 5-fold group-disjoint outer cross-validation with a 3-fold group-disjoint inner loop. Hyperparameters of the classical heads are selected within the inner loop; the CNN backbone is retrained from ImageNet initialisation inside each outer fold, on that fold’s training portion alone, with early stopping on an inner validation fold. CNN hyperparameters were fixed in advance and were not selected using any test fold. One residual limitation is stated explicitly: the classical heads are tuned inside the outer training portion, part of which the backbone saw during fine-tuning. The outer test fold remained untouched by model selection and hyperparameter tuning in either case, but the hyperparameter choice is mildly optimistic.</w:t>
      </w:r>
    </w:p>
    <w:p>
      <w:pPr>
        <w:spacing w:after="120"/>
      </w:pPr>
      <w:r>
        <w:rPr>
          <w:sz w:val="16"/>
          <w:szCs w:val="16"/>
        </w:rPr>
        <w:t xml:space="preserve"/>
      </w:r>
    </w:p>
    <w:p>
      <w:pPr>
        <w:spacing w:after="120" w:line="276"/>
      </w:pPr>
      <w:r>
        <w:rPr>
          <w:rFonts w:ascii="Calibri" w:cs="Calibri" w:eastAsia="Calibri" w:hAnsi="Calibri"/>
          <w:b/>
          <w:bCs/>
          <w:sz w:val="20"/>
          <w:szCs w:val="20"/>
        </w:rPr>
        <w:t xml:space="preserve">Table R4. Effect of the corrected evaluation (95% group-bootstrap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2621"/>
        <w:gridCol w:w="2621"/>
      </w:tblGrid>
      <w:tr>
        <w:trPr>
          <w:tblHeader/>
        </w:trPr>
        <w:tc>
          <w:tcPr>
            <w:tcW w:type="dxa" w:w="4118"/>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Evaluation</w:t>
            </w:r>
          </w:p>
        </w:tc>
        <w:tc>
          <w:tcPr>
            <w:tcW w:type="dxa" w:w="2621"/>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CNN</w:t>
            </w:r>
          </w:p>
        </w:tc>
        <w:tc>
          <w:tcPr>
            <w:tcW w:type="dxa" w:w="2621"/>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CNN+SVM</w:t>
            </w:r>
          </w:p>
        </w:tc>
      </w:tr>
      <w:tr>
        <w:tc>
          <w:tcPr>
            <w:tcW w:type="dxa" w:w="4118"/>
            <w:tcMar>
              <w:top w:type="dxa" w:w="60"/>
              <w:left w:type="dxa" w:w="90"/>
              <w:bottom w:type="dxa" w:w="60"/>
              <w:right w:type="dxa" w:w="90"/>
            </w:tcMar>
          </w:tcPr>
          <w:p>
            <w:pPr>
              <w:spacing w:after="0" w:line="240"/>
            </w:pPr>
            <w:r>
              <w:rPr>
                <w:rFonts w:ascii="Calibri" w:cs="Calibri" w:eastAsia="Calibri" w:hAnsi="Calibri"/>
                <w:sz w:val="19"/>
                <w:szCs w:val="19"/>
              </w:rPr>
              <w:t xml:space="preserve">Image-level split, 4 classes</w:t>
            </w:r>
          </w:p>
        </w:tc>
        <w:tc>
          <w:tcPr>
            <w:tcW w:type="dxa" w:w="2621"/>
            <w:tcMar>
              <w:top w:type="dxa" w:w="60"/>
              <w:left w:type="dxa" w:w="90"/>
              <w:bottom w:type="dxa" w:w="60"/>
              <w:right w:type="dxa" w:w="90"/>
            </w:tcMar>
          </w:tcPr>
          <w:p>
            <w:pPr>
              <w:spacing w:after="0" w:line="240"/>
              <w:jc w:val="center"/>
            </w:pPr>
            <w:r>
              <w:rPr>
                <w:rFonts w:ascii="Calibri" w:cs="Calibri" w:eastAsia="Calibri" w:hAnsi="Calibri"/>
                <w:sz w:val="19"/>
                <w:szCs w:val="19"/>
              </w:rPr>
              <w:t xml:space="preserve">0.9691 [0.9610, 0.9768]</w:t>
            </w:r>
          </w:p>
        </w:tc>
        <w:tc>
          <w:tcPr>
            <w:tcW w:type="dxa" w:w="2621"/>
            <w:tcMar>
              <w:top w:type="dxa" w:w="60"/>
              <w:left w:type="dxa" w:w="90"/>
              <w:bottom w:type="dxa" w:w="60"/>
              <w:right w:type="dxa" w:w="90"/>
            </w:tcMar>
          </w:tcPr>
          <w:p>
            <w:pPr>
              <w:spacing w:after="0" w:line="240"/>
              <w:jc w:val="center"/>
            </w:pPr>
            <w:r>
              <w:rPr>
                <w:rFonts w:ascii="Calibri" w:cs="Calibri" w:eastAsia="Calibri" w:hAnsi="Calibri"/>
                <w:sz w:val="19"/>
                <w:szCs w:val="19"/>
              </w:rPr>
              <w:t xml:space="preserve">0.9756 [0.9681, 0.9825]</w:t>
            </w:r>
          </w:p>
        </w:tc>
      </w:tr>
      <w:tr>
        <w:tc>
          <w:tcPr>
            <w:tcW w:type="dxa" w:w="4118"/>
            <w:tcMar>
              <w:top w:type="dxa" w:w="60"/>
              <w:left w:type="dxa" w:w="90"/>
              <w:bottom w:type="dxa" w:w="60"/>
              <w:right w:type="dxa" w:w="90"/>
            </w:tcMar>
          </w:tcPr>
          <w:p>
            <w:pPr>
              <w:spacing w:after="0" w:line="240"/>
            </w:pPr>
            <w:r>
              <w:rPr>
                <w:rFonts w:ascii="Calibri" w:cs="Calibri" w:eastAsia="Calibri" w:hAnsi="Calibri"/>
                <w:sz w:val="19"/>
                <w:szCs w:val="19"/>
              </w:rPr>
              <w:t xml:space="preserve">Group-disjoint split, 4 classes</w:t>
            </w:r>
          </w:p>
        </w:tc>
        <w:tc>
          <w:tcPr>
            <w:tcW w:type="dxa" w:w="2621"/>
            <w:tcMar>
              <w:top w:type="dxa" w:w="60"/>
              <w:left w:type="dxa" w:w="90"/>
              <w:bottom w:type="dxa" w:w="60"/>
              <w:right w:type="dxa" w:w="90"/>
            </w:tcMar>
          </w:tcPr>
          <w:p>
            <w:pPr>
              <w:spacing w:after="0" w:line="240"/>
              <w:jc w:val="center"/>
            </w:pPr>
            <w:r>
              <w:rPr>
                <w:rFonts w:ascii="Calibri" w:cs="Calibri" w:eastAsia="Calibri" w:hAnsi="Calibri"/>
                <w:sz w:val="19"/>
                <w:szCs w:val="19"/>
              </w:rPr>
              <w:t xml:space="preserve">0.9287 [0.9063, 0.9481]</w:t>
            </w:r>
          </w:p>
        </w:tc>
        <w:tc>
          <w:tcPr>
            <w:tcW w:type="dxa" w:w="2621"/>
            <w:tcMar>
              <w:top w:type="dxa" w:w="60"/>
              <w:left w:type="dxa" w:w="90"/>
              <w:bottom w:type="dxa" w:w="60"/>
              <w:right w:type="dxa" w:w="90"/>
            </w:tcMar>
          </w:tcPr>
          <w:p>
            <w:pPr>
              <w:spacing w:after="0" w:line="240"/>
              <w:jc w:val="center"/>
            </w:pPr>
            <w:r>
              <w:rPr>
                <w:rFonts w:ascii="Calibri" w:cs="Calibri" w:eastAsia="Calibri" w:hAnsi="Calibri"/>
                <w:sz w:val="19"/>
                <w:szCs w:val="19"/>
              </w:rPr>
              <w:t xml:space="preserve">0.9405 [0.9215, 0.9580]</w:t>
            </w:r>
          </w:p>
        </w:tc>
      </w:tr>
      <w:tr>
        <w:tc>
          <w:tcPr>
            <w:tcW w:type="dxa" w:w="4118"/>
            <w:tcMar>
              <w:top w:type="dxa" w:w="60"/>
              <w:left w:type="dxa" w:w="90"/>
              <w:bottom w:type="dxa" w:w="60"/>
              <w:right w:type="dxa" w:w="90"/>
            </w:tcMar>
          </w:tcPr>
          <w:p>
            <w:pPr>
              <w:spacing w:after="0" w:line="240"/>
            </w:pPr>
            <w:r>
              <w:rPr>
                <w:rFonts w:ascii="Calibri" w:cs="Calibri" w:eastAsia="Calibri" w:hAnsi="Calibri"/>
                <w:sz w:val="19"/>
                <w:szCs w:val="19"/>
              </w:rPr>
              <w:t xml:space="preserve">Group-disjoint, single-repository, 3 classes</w:t>
            </w:r>
          </w:p>
        </w:tc>
        <w:tc>
          <w:tcPr>
            <w:tcW w:type="dxa" w:w="2621"/>
            <w:tcMar>
              <w:top w:type="dxa" w:w="60"/>
              <w:left w:type="dxa" w:w="90"/>
              <w:bottom w:type="dxa" w:w="60"/>
              <w:right w:type="dxa" w:w="90"/>
            </w:tcMar>
          </w:tcPr>
          <w:p>
            <w:pPr>
              <w:spacing w:after="0" w:line="240"/>
              <w:jc w:val="center"/>
            </w:pPr>
            <w:r>
              <w:rPr>
                <w:rFonts w:ascii="Calibri" w:cs="Calibri" w:eastAsia="Calibri" w:hAnsi="Calibri"/>
                <w:sz w:val="19"/>
                <w:szCs w:val="19"/>
              </w:rPr>
              <w:t xml:space="preserve">0.9042 [0.8748, 0.9312]</w:t>
            </w:r>
          </w:p>
        </w:tc>
        <w:tc>
          <w:tcPr>
            <w:tcW w:type="dxa" w:w="2621"/>
            <w:tcMar>
              <w:top w:type="dxa" w:w="60"/>
              <w:left w:type="dxa" w:w="90"/>
              <w:bottom w:type="dxa" w:w="60"/>
              <w:right w:type="dxa" w:w="90"/>
            </w:tcMar>
          </w:tcPr>
          <w:p>
            <w:pPr>
              <w:spacing w:after="0" w:line="240"/>
              <w:jc w:val="center"/>
            </w:pPr>
            <w:r>
              <w:rPr>
                <w:rFonts w:ascii="Calibri" w:cs="Calibri" w:eastAsia="Calibri" w:hAnsi="Calibri"/>
                <w:sz w:val="19"/>
                <w:szCs w:val="19"/>
              </w:rPr>
              <w:t xml:space="preserve">0.9230 [0.8973, 0.9454]</w:t>
            </w:r>
          </w:p>
        </w:tc>
      </w:tr>
    </w:tbl>
    <w:p>
      <w:pPr>
        <w:spacing w:after="120"/>
      </w:pPr>
      <w:r>
        <w:rPr>
          <w:sz w:val="16"/>
          <w:szCs w:val="16"/>
        </w:rPr>
        <w:t xml:space="preserve"/>
      </w:r>
    </w:p>
    <w:p>
      <w:pPr>
        <w:spacing w:after="120" w:line="276"/>
      </w:pPr>
      <w:r>
        <w:rPr>
          <w:rFonts w:ascii="Calibri" w:cs="Calibri" w:eastAsia="Calibri" w:hAnsi="Calibri"/>
          <w:sz w:val="22"/>
          <w:szCs w:val="22"/>
        </w:rPr>
        <w:t xml:space="preserve">The first two rows share architecture, training pipeline, hyperparameter search space, code and seed; only the partitioning differs, and the backbone is retrained within each. Inflation attributable to image-level splitting ranges from +3.09 to +5.74 percentage points across six model configurations, and is largest for the nearest-neighbour classifier, which under image-level splitting selects k = 1 in every fold and becomes the best-performing model, and under group-disjoint splitting selects k = 5 or k = 11 and becomes the worst. Between-fold standard deviation also rises from 0.007–0.009 to 0.021–0.029 when leakage is removed, so image-level splitting inflates the estimate and simultaneously understates its uncertainty.</w:t>
      </w:r>
    </w:p>
    <w:p>
      <w:pPr>
        <w:pStyle w:val="Heading3"/>
        <w:spacing w:after="100" w:before="220"/>
      </w:pPr>
      <w:r>
        <w:rPr>
          <w:rFonts w:ascii="Calibri" w:cs="Calibri" w:eastAsia="Calibri" w:hAnsi="Calibri"/>
          <w:b/>
          <w:bCs/>
          <w:sz w:val="22"/>
          <w:szCs w:val="22"/>
        </w:rPr>
        <w:t xml:space="preserve">Independent source-based test set</w:t>
      </w:r>
    </w:p>
    <w:p>
      <w:pPr>
        <w:spacing w:after="120" w:line="276"/>
      </w:pPr>
      <w:r>
        <w:rPr>
          <w:rFonts w:ascii="Calibri" w:cs="Calibri" w:eastAsia="Calibri" w:hAnsi="Calibri"/>
          <w:sz w:val="22"/>
          <w:szCs w:val="22"/>
        </w:rPr>
        <w:t xml:space="preserve">We screened two public four-class datasets before any model was applied to them, using the pre-specified dual-hash criterion calibrated as described under Point 3, with structural similarity as an independent confirmation. The protocol was committed to the repository before the screening was run. Within the benchmark itself, SARTAJ and BR35H are constituents rather than external sources, and only 168 SARTAJ images in two classes survive deduplication against Figshare.</w:t>
      </w:r>
    </w:p>
    <w:p>
      <w:pPr>
        <w:spacing w:after="120" w:line="276"/>
      </w:pPr>
      <w:r>
        <w:rPr>
          <w:rFonts w:ascii="Calibri" w:cs="Calibri" w:eastAsia="Calibri" w:hAnsi="Calibri"/>
          <w:b/>
          <w:bCs/>
          <w:sz w:val="22"/>
          <w:szCs w:val="22"/>
        </w:rPr>
        <w:t xml:space="preserve">PMRAM </w:t>
      </w:r>
      <w:r>
        <w:rPr>
          <w:rFonts w:ascii="Calibri" w:cs="Calibri" w:eastAsia="Calibri" w:hAnsi="Calibri"/>
          <w:sz w:val="22"/>
          <w:szCs w:val="22"/>
        </w:rPr>
        <w:t xml:space="preserve">(Mendeley m7w55sw88b), described as 1,600 raw images collected from hospitals in Bangladesh. The archive we downloaded contained 1,505 image files, of which 184 in 89 groups are byte-identical duplicates of one another. Against the source repositories, 509 images (33.8%) match at ≤2 bits; against the composite redistribution on which the published literature is trained, 844 (56.1%) match, including all 373 pituitary images. Class-wise overlap against the source repositories ranges from 0.6% for meningioma to 67.7% for no-tumour. Matched pairs agree on diagnostic label in 100.0% of cases against a chance rate of 25%, and 93.8% of 400 verified pairs reach SSIM ≥ 0.95 with a median of 0.997.</w:t>
      </w:r>
    </w:p>
    <w:p>
      <w:pPr>
        <w:spacing w:after="120" w:line="276"/>
      </w:pPr>
      <w:r>
        <w:rPr>
          <w:rFonts w:ascii="Calibri" w:cs="Calibri" w:eastAsia="Calibri" w:hAnsi="Calibri"/>
          <w:b/>
          <w:bCs/>
          <w:sz w:val="22"/>
          <w:szCs w:val="22"/>
        </w:rPr>
        <w:t xml:space="preserve">BDNeuro-MRI v7 </w:t>
      </w:r>
      <w:r>
        <w:rPr>
          <w:rFonts w:ascii="Calibri" w:cs="Calibri" w:eastAsia="Calibri" w:hAnsi="Calibri"/>
          <w:sz w:val="22"/>
          <w:szCs w:val="22"/>
        </w:rPr>
        <w:t xml:space="preserve">(Mendeley zwr4ntf94j), described as clinical data from named hospitals in Bangladesh. Of 5,941 study images, 2,242 (37.7%) match the source repositories and 4,027 (67.7%) match the composite redistribution, with 1,831 and 3,315 of those respectively being byte-identical files. Against the 3,813 images actually used for fitting, 2,009 match, 165 of them byte-identical. Matched pairs agree on diagnostic label in 100.0% of cases, and 90.0% of 400 verified pairs reach SSIM ≥ 0.95 with a median of 1.000. The publisher-defined test partition is contaminated at the same rate as the release as a whole, so restriction to it does not help.</w:t>
      </w:r>
    </w:p>
    <w:p>
      <w:pPr>
        <w:spacing w:after="120" w:line="276"/>
      </w:pPr>
      <w:r>
        <w:rPr>
          <w:rFonts w:ascii="Calibri" w:cs="Calibri" w:eastAsia="Calibri" w:hAnsi="Calibri"/>
          <w:sz w:val="22"/>
          <w:szCs w:val="22"/>
        </w:rPr>
        <w:t xml:space="preserve">We report substantial content-level overlap and make no inference about how it arose.</w:t>
      </w:r>
    </w:p>
    <w:p>
      <w:pPr>
        <w:spacing w:after="120" w:line="276"/>
      </w:pPr>
      <w:r>
        <w:rPr>
          <w:rFonts w:ascii="Calibri" w:cs="Calibri" w:eastAsia="Calibri" w:hAnsi="Calibri"/>
          <w:sz w:val="22"/>
          <w:szCs w:val="22"/>
        </w:rPr>
        <w:t xml:space="preserve">One finding is of general relevance. BDNeuro-MRI states that duplicates were removed between its partitions, and our independent audit largely corroborates this: one two-image near-duplicate group out of 5,939 spans publisher partitions, and no test image has a near-duplicate counterpart in the publisher’s training or validation partition. The same release nevertheless shares 1,831 byte-identical files with the source repositories of this benchmark. Internal partition hygiene and independence from other public repositories are distinct properties established by different audits, and only the first appears to be routine.</w:t>
      </w:r>
    </w:p>
    <w:p>
      <w:pPr>
        <w:spacing w:after="120" w:line="276"/>
      </w:pPr>
      <w:r>
        <w:rPr>
          <w:rFonts w:ascii="Calibri" w:cs="Calibri" w:eastAsia="Calibri" w:hAnsi="Calibri"/>
          <w:b/>
          <w:bCs/>
          <w:sz w:val="22"/>
          <w:szCs w:val="22"/>
        </w:rPr>
        <w:t xml:space="preserve">Conclusion on Point 5. </w:t>
      </w:r>
      <w:r>
        <w:rPr>
          <w:rFonts w:ascii="Calibri" w:cs="Calibri" w:eastAsia="Calibri" w:hAnsi="Calibri"/>
          <w:sz w:val="22"/>
          <w:szCs w:val="22"/>
        </w:rPr>
        <w:t xml:space="preserve">We did not identify a verifiably independent public four-class cohort among the candidates screened, and we report the screening in place of an external evaluation. Presenting the unmatched remainder of either dataset as external validation would reproduce the error this study documents: perceptual hashing detects the reuse it can see, not all reuse, so the provenance of the remainder is unestablished rather than established. We state this as the principal limitation of the work, and we release the audit tooling so that the check can be made routinely.</w:t>
      </w:r>
    </w:p>
    <w:p>
      <w:pPr>
        <w:pStyle w:val="Heading2"/>
        <w:spacing w:after="140" w:before="300"/>
      </w:pPr>
      <w:r>
        <w:rPr>
          <w:rFonts w:ascii="Calibri" w:cs="Calibri" w:eastAsia="Calibri" w:hAnsi="Calibri"/>
          <w:b/>
          <w:bCs/>
          <w:color w:val="2E5496"/>
          <w:sz w:val="24"/>
          <w:szCs w:val="24"/>
        </w:rPr>
        <w:t xml:space="preserve">Point 6 — Complete implementation details</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Provide complete implementation details for EfficientNetB0 feature extraction, frozen and fine-tuned layers, feature dimensions, preprocessing, augmentation, classifiers, hyperparameters, random seeds, software versions, and hardware.</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A dedicated Implementation subsection specifies all of these, incorporating the corrections listed under B6 and B7: input resolution is 224×224 and is resolved from the model’s own published data configuration; normalisation uses the documented ImageNet statistics; the extracted feature vector is the 1,280-dimensional global-average-pooled output.</w:t>
      </w:r>
    </w:p>
    <w:p>
      <w:pPr>
        <w:spacing w:after="120" w:line="276"/>
      </w:pPr>
      <w:r>
        <w:rPr>
          <w:rFonts w:ascii="Calibri" w:cs="Calibri" w:eastAsia="Calibri" w:hAnsi="Calibri"/>
          <w:sz w:val="22"/>
          <w:szCs w:val="22"/>
        </w:rPr>
        <w:t xml:space="preserve">Reported in full: backbone and pretrained weight source; which layers are fine-tuned; optimiser, learning rate, weight decay, schedule, batch size, epoch limit and early-stopping criterion; loss and class weighting; the complete hyperparameter grid for every classical head and the values selected in each fold; random seeds with deterministic backend settings; the dependency lock file; hardware and driver versions; and wall-clock timings.</w:t>
      </w:r>
    </w:p>
    <w:p>
      <w:pPr>
        <w:spacing w:after="120" w:line="276"/>
      </w:pPr>
      <w:r>
        <w:rPr>
          <w:rFonts w:ascii="Calibri" w:cs="Calibri" w:eastAsia="Calibri" w:hAnsi="Calibri"/>
          <w:sz w:val="22"/>
          <w:szCs w:val="22"/>
        </w:rPr>
        <w:t xml:space="preserve">Two implementation points affect published results. The multilayer perceptron previously used the library’s internal early stopping, which constructs a validation split at random and does not respect the patient grouping; the stopping point was being chosen against partially memorised data, and it is disabled. The support vector machine previously used the library’s internal probability estimation, which fits Platt scaling through a non-group-aware five-fold cross-validation; since the selective-prediction analysis depends on those posteriors, calibration is now performed explicitly over the same group-disjoint inner folds used for tuning. Group-level expected calibration error of the SVM head is 0.019, against 0.049 for the CNN softmax.</w:t>
      </w:r>
    </w:p>
    <w:p>
      <w:pPr>
        <w:spacing w:after="120" w:line="276"/>
      </w:pPr>
      <w:r>
        <w:rPr>
          <w:rFonts w:ascii="Calibri" w:cs="Calibri" w:eastAsia="Calibri" w:hAnsi="Calibri"/>
          <w:sz w:val="22"/>
          <w:szCs w:val="22"/>
        </w:rPr>
        <w:t xml:space="preserve">Re-running split generation after a complete rewrite of the codebase reproduced every fold assignment, group count and class distribution identically.</w:t>
      </w:r>
    </w:p>
    <w:p>
      <w:pPr>
        <w:pStyle w:val="Heading2"/>
        <w:spacing w:after="140" w:before="300"/>
      </w:pPr>
      <w:r>
        <w:rPr>
          <w:rFonts w:ascii="Calibri" w:cs="Calibri" w:eastAsia="Calibri" w:hAnsi="Calibri"/>
          <w:b/>
          <w:bCs/>
          <w:color w:val="2E5496"/>
          <w:sz w:val="24"/>
          <w:szCs w:val="24"/>
        </w:rPr>
        <w:t xml:space="preserve">Point 7 — Complete class-wise and macro-averaged metrics</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Report complete class-wise and macro-averaged performance metrics, including confusion matrices with real counts, sensitivity, specificity, precision, recall, F1-score, balanced accuracy, ROC-AUC, confidence intervals, and support values.</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All requested metrics are reported for every model in every configuration: accuracy, balanced accuracy, macro and weighted F1, macro precision, recall and specificity, macro one-vs-rest ROC-AUC, multiclass Brier score and expected calibration error; and per class, precision, sensitivity, specificity, F1, one-vs-rest ROC-AUC, support and raw TP/FP/FN/TN counts. Confusion matrices with real counts are given for the primary models in the manuscript and for all models in the supplement, and fold-level results are tabulated so that between-fold spread is visible rather than concealed inside a pooled mean. The Jaccard index is retained per class, labelled as such, so the original values can be reconciled.</w:t>
      </w:r>
    </w:p>
    <w:p>
      <w:pPr>
        <w:spacing w:after="120" w:line="276"/>
      </w:pPr>
      <w:r>
        <w:rPr>
          <w:rFonts w:ascii="Calibri" w:cs="Calibri" w:eastAsia="Calibri" w:hAnsi="Calibri"/>
          <w:b/>
          <w:bCs/>
          <w:sz w:val="22"/>
          <w:szCs w:val="22"/>
        </w:rPr>
        <w:t xml:space="preserve">Confidence intervals are resampled over groups, not images. </w:t>
      </w:r>
      <w:r>
        <w:rPr>
          <w:rFonts w:ascii="Calibri" w:cs="Calibri" w:eastAsia="Calibri" w:hAnsi="Calibri"/>
          <w:sz w:val="22"/>
          <w:szCs w:val="22"/>
        </w:rPr>
        <w:t xml:space="preserve">With approximately 16 correlated images per glioma patient, resampling images treats 16 views of one brain as 16 independent observations. The intervals in the original manuscript used a normal approximation over correlated slices and were consequently far too narrow. All intervals are now 95% percentile bootstrap intervals over leakage-control groups, with 2,000 resamples, covering every reported metric including per-class values.</w:t>
      </w:r>
    </w:p>
    <w:p>
      <w:pPr>
        <w:spacing w:after="120" w:line="276"/>
      </w:pPr>
      <w:r>
        <w:rPr>
          <w:rFonts w:ascii="Calibri" w:cs="Calibri" w:eastAsia="Calibri" w:hAnsi="Calibri"/>
          <w:sz w:val="22"/>
          <w:szCs w:val="22"/>
        </w:rPr>
        <w:t xml:space="preserve">We note that in a four-class one-vs-rest formulation each class is evaluated against a comparatively large negative pool, so specificity can remain numerically high even where sensitivity and precision differ appreciably between models. It is reported because it was requested, but we place no comparative argument on it. This is why every model in the original manuscript reported 99% specificity.</w:t>
      </w:r>
    </w:p>
    <w:p>
      <w:pPr>
        <w:pStyle w:val="Heading2"/>
        <w:spacing w:after="140" w:before="300"/>
      </w:pPr>
      <w:r>
        <w:rPr>
          <w:rFonts w:ascii="Calibri" w:cs="Calibri" w:eastAsia="Calibri" w:hAnsi="Calibri"/>
          <w:b/>
          <w:bCs/>
          <w:color w:val="2E5496"/>
          <w:sz w:val="24"/>
          <w:szCs w:val="24"/>
        </w:rPr>
        <w:t xml:space="preserve">Point 8 — Statistical significance of the SVM improvement</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Test whether the reported SVM improvement over EfficientNetB0 is statistically significant using an appropriate paired method such as McNemar’s test or paired bootstrap analysis.</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As reported under B2, the original comparison could not be tested because the two models were scored on different data. Both are now scored on the same pooled out-of-fold predictions, so a paired test applies. The comparison between the standalone CNN and the EfficientNetB0+SVM hybrid was designated primary in advance, as the Editor raised it specifically, and is reported unadjusted; the remaining pairwise comparisons are exploratory and carry Holm-adjusted values.</w:t>
      </w:r>
    </w:p>
    <w:p>
      <w:pPr>
        <w:spacing w:after="120" w:line="276"/>
      </w:pPr>
      <w:r>
        <w:rPr>
          <w:rFonts w:ascii="Calibri" w:cs="Calibri" w:eastAsia="Calibri" w:hAnsi="Calibri"/>
          <w:b/>
          <w:bCs/>
          <w:sz w:val="22"/>
          <w:szCs w:val="22"/>
        </w:rPr>
        <w:t xml:space="preserve">Four-class, group-disjoint evaluation: </w:t>
      </w:r>
      <w:r>
        <w:rPr>
          <w:rFonts w:ascii="Calibri" w:cs="Calibri" w:eastAsia="Calibri" w:hAnsi="Calibri"/>
          <w:sz w:val="22"/>
          <w:szCs w:val="22"/>
        </w:rPr>
        <w:t xml:space="preserve">the hybrid improves accuracy by 1.16 percentage points (95% CI 0.26 to 2.08; group-level paired bootstrap p = 0.011; exact McNemar p = 0.0002). The corresponding difference in balanced accuracy is 0.65 percentage points. Both tests operate on per-image correctness, so accuracy is the quantity they address; we report the balanced figure alongside it rather than substituting one for the other.</w:t>
      </w:r>
    </w:p>
    <w:p>
      <w:pPr>
        <w:spacing w:after="120" w:line="276"/>
      </w:pPr>
      <w:r>
        <w:rPr>
          <w:rFonts w:ascii="Calibri" w:cs="Calibri" w:eastAsia="Calibri" w:hAnsi="Calibri"/>
          <w:b/>
          <w:bCs/>
          <w:sz w:val="22"/>
          <w:szCs w:val="22"/>
        </w:rPr>
        <w:t xml:space="preserve">Single-repository three-class evaluation: </w:t>
      </w:r>
      <w:r>
        <w:rPr>
          <w:rFonts w:ascii="Calibri" w:cs="Calibri" w:eastAsia="Calibri" w:hAnsi="Calibri"/>
          <w:sz w:val="22"/>
          <w:szCs w:val="22"/>
        </w:rPr>
        <w:t xml:space="preserve">the improvement in accuracy is 1.86 percentage points (95% CI 0.62 to 3.24; patient-level paired bootstrap p = 0.003).</w:t>
      </w:r>
    </w:p>
    <w:p>
      <w:pPr>
        <w:spacing w:after="120" w:line="276"/>
      </w:pPr>
      <w:r>
        <w:rPr>
          <w:rFonts w:ascii="Calibri" w:cs="Calibri" w:eastAsia="Calibri" w:hAnsi="Calibri"/>
          <w:sz w:val="22"/>
          <w:szCs w:val="22"/>
        </w:rPr>
        <w:t xml:space="preserve">We report both tests and designate the bootstrap as primary. McNemar’s test assumes independent observations, which four to sixteen correlated images per patient violates; the group-level paired bootstrap respects the correlation structure. The two agree in direction here, and where such tests disagree we would follow the bootstrap.</w:t>
      </w:r>
    </w:p>
    <w:p>
      <w:pPr>
        <w:spacing w:after="120" w:line="276"/>
      </w:pPr>
      <w:r>
        <w:rPr>
          <w:rFonts w:ascii="Calibri" w:cs="Calibri" w:eastAsia="Calibri" w:hAnsi="Calibri"/>
          <w:b/>
          <w:bCs/>
          <w:sz w:val="22"/>
          <w:szCs w:val="22"/>
        </w:rPr>
        <w:t xml:space="preserve">We do not claim that the SVM is the best classifier. </w:t>
      </w:r>
      <w:r>
        <w:rPr>
          <w:rFonts w:ascii="Calibri" w:cs="Calibri" w:eastAsia="Calibri" w:hAnsi="Calibri"/>
          <w:sz w:val="22"/>
          <w:szCs w:val="22"/>
        </w:rPr>
        <w:t xml:space="preserve">The MLP head reaches slightly higher accuracy (0.9415 against 0.9405) and the two are not statistically distinguishable, as are the SVM and logistic-regression heads. Nearest-neighbour and random-forest heads do not improve on the CNN at all. The defensible claim is that replacing the end-to-end softmax layer with a conventional classifier yields a small but detectable improvement, and that no single downstream classifier dominates. Relative model ranking on this benchmark is also not stable to the evaluation protocol, which is itself a reason for caution about comparative claims in this literature.</w:t>
      </w:r>
    </w:p>
    <w:p>
      <w:pPr>
        <w:pStyle w:val="Heading2"/>
        <w:spacing w:after="140" w:before="300"/>
      </w:pPr>
      <w:r>
        <w:rPr>
          <w:rFonts w:ascii="Calibri" w:cs="Calibri" w:eastAsia="Calibri" w:hAnsi="Calibri"/>
          <w:b/>
          <w:bCs/>
          <w:color w:val="2E5496"/>
          <w:sz w:val="24"/>
          <w:szCs w:val="24"/>
        </w:rPr>
        <w:t xml:space="preserve">Point 9 — Quantitative error and interpretability analysis</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Add quantitative error and interpretability analyses, including representative correctly and incorrectly classified cases, relevant MRI regions, and clinically meaningful explanations.</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Attribution is scored rather than illustrated. The Figshare subset supplies a binary tumour mask with every slice, so 3,038 images (79.7% of the cohort) support quantitative evaluation. Masks are used only for images rendered from the original archives; SARTAJ copies were independently rescaled before redistribution and their masks would not register.</w:t>
      </w:r>
    </w:p>
    <w:p>
      <w:pPr>
        <w:spacing w:after="120" w:line="276"/>
      </w:pPr>
      <w:r>
        <w:rPr>
          <w:rFonts w:ascii="Calibri" w:cs="Calibri" w:eastAsia="Calibri" w:hAnsi="Calibri"/>
          <w:sz w:val="22"/>
          <w:szCs w:val="22"/>
        </w:rPr>
        <w:t xml:space="preserve">For each image we compute the fraction of attribution mass inside the tumour mask, normalised by the mask’s own area fraction. This ratio, which we call concentration, equals 1.0 for a uniform and therefore uninformative map. Normalisation matters because a large tumour captures a large share of a diffuse map. We also report the pointing game and an area-matched IoU, so the overlap measure does not depend on an arbitrary threshold.</w:t>
      </w:r>
    </w:p>
    <w:p>
      <w:pPr>
        <w:spacing w:after="120" w:line="276"/>
      </w:pPr>
      <w:r>
        <w:rPr>
          <w:rFonts w:ascii="Calibri" w:cs="Calibri" w:eastAsia="Calibri" w:hAnsi="Calibri"/>
          <w:b/>
          <w:bCs/>
          <w:sz w:val="22"/>
          <w:szCs w:val="22"/>
        </w:rPr>
        <w:t xml:space="preserve">Attribution targets the deployed model. </w:t>
      </w:r>
      <w:r>
        <w:rPr>
          <w:rFonts w:ascii="Calibri" w:cs="Calibri" w:eastAsia="Calibri" w:hAnsi="Calibri"/>
          <w:sz w:val="22"/>
          <w:szCs w:val="22"/>
        </w:rPr>
        <w:t xml:space="preserve">Grad-CAM differentiates through the CNN’s own classification head, which the hybrid models discard. For the hybrid we therefore use occlusion sensitivity on the complete pipeline, with the head refitted per fold exactly as in the main analysis. Where we report Grad-CAM we state that it describes the shared feature extractor and not the hybrid decision boundary.</w:t>
      </w:r>
    </w:p>
    <w:p>
      <w:pPr>
        <w:spacing w:after="120"/>
      </w:pPr>
      <w:r>
        <w:rPr>
          <w:sz w:val="16"/>
          <w:szCs w:val="16"/>
        </w:rPr>
        <w:t xml:space="preserve"/>
      </w:r>
    </w:p>
    <w:p>
      <w:pPr>
        <w:spacing w:after="120" w:line="276"/>
      </w:pPr>
      <w:r>
        <w:rPr>
          <w:rFonts w:ascii="Calibri" w:cs="Calibri" w:eastAsia="Calibri" w:hAnsi="Calibri"/>
          <w:b/>
          <w:bCs/>
          <w:sz w:val="20"/>
          <w:szCs w:val="20"/>
        </w:rPr>
        <w:t xml:space="preserve">Table R5. Occlusion attribution on the deployed hybrid pipeline, Figshare-only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3"/>
        <w:gridCol w:w="3304"/>
        <w:gridCol w:w="3303"/>
      </w:tblGrid>
      <w:tr>
        <w:trPr>
          <w:tblHeader/>
        </w:trPr>
        <w:tc>
          <w:tcPr>
            <w:tcW w:type="dxa" w:w="2753"/>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Class</w:t>
            </w:r>
          </w:p>
        </w:tc>
        <w:tc>
          <w:tcPr>
            <w:tcW w:type="dxa" w:w="3304"/>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Concentration, correct</w:t>
            </w:r>
          </w:p>
        </w:tc>
        <w:tc>
          <w:tcPr>
            <w:tcW w:type="dxa" w:w="3303"/>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Concentration, incorrect</w:t>
            </w:r>
          </w:p>
        </w:tc>
      </w:tr>
      <w:tr>
        <w:tc>
          <w:tcPr>
            <w:tcW w:type="dxa" w:w="2753"/>
            <w:tcMar>
              <w:top w:type="dxa" w:w="60"/>
              <w:left w:type="dxa" w:w="90"/>
              <w:bottom w:type="dxa" w:w="60"/>
              <w:right w:type="dxa" w:w="90"/>
            </w:tcMar>
          </w:tcPr>
          <w:p>
            <w:pPr>
              <w:spacing w:after="0" w:line="240"/>
            </w:pPr>
            <w:r>
              <w:rPr>
                <w:rFonts w:ascii="Calibri" w:cs="Calibri" w:eastAsia="Calibri" w:hAnsi="Calibri"/>
                <w:sz w:val="19"/>
                <w:szCs w:val="19"/>
              </w:rPr>
              <w:t xml:space="preserve">Meningioma</w:t>
            </w:r>
          </w:p>
        </w:tc>
        <w:tc>
          <w:tcPr>
            <w:tcW w:type="dxa" w:w="3304"/>
            <w:tcMar>
              <w:top w:type="dxa" w:w="60"/>
              <w:left w:type="dxa" w:w="90"/>
              <w:bottom w:type="dxa" w:w="60"/>
              <w:right w:type="dxa" w:w="90"/>
            </w:tcMar>
          </w:tcPr>
          <w:p>
            <w:pPr>
              <w:spacing w:after="0" w:line="240"/>
              <w:jc w:val="center"/>
            </w:pPr>
            <w:r>
              <w:rPr>
                <w:rFonts w:ascii="Calibri" w:cs="Calibri" w:eastAsia="Calibri" w:hAnsi="Calibri"/>
                <w:sz w:val="19"/>
                <w:szCs w:val="19"/>
              </w:rPr>
              <w:t xml:space="preserve">6.54</w:t>
            </w:r>
          </w:p>
        </w:tc>
        <w:tc>
          <w:tcPr>
            <w:tcW w:type="dxa" w:w="3303"/>
            <w:tcMar>
              <w:top w:type="dxa" w:w="60"/>
              <w:left w:type="dxa" w:w="90"/>
              <w:bottom w:type="dxa" w:w="60"/>
              <w:right w:type="dxa" w:w="90"/>
            </w:tcMar>
          </w:tcPr>
          <w:p>
            <w:pPr>
              <w:spacing w:after="0" w:line="240"/>
              <w:jc w:val="center"/>
            </w:pPr>
            <w:r>
              <w:rPr>
                <w:rFonts w:ascii="Calibri" w:cs="Calibri" w:eastAsia="Calibri" w:hAnsi="Calibri"/>
                <w:sz w:val="19"/>
                <w:szCs w:val="19"/>
              </w:rPr>
              <w:t xml:space="preserve">2.28</w:t>
            </w:r>
          </w:p>
        </w:tc>
      </w:tr>
      <w:tr>
        <w:tc>
          <w:tcPr>
            <w:tcW w:type="dxa" w:w="2753"/>
            <w:tcMar>
              <w:top w:type="dxa" w:w="60"/>
              <w:left w:type="dxa" w:w="90"/>
              <w:bottom w:type="dxa" w:w="60"/>
              <w:right w:type="dxa" w:w="90"/>
            </w:tcMar>
          </w:tcPr>
          <w:p>
            <w:pPr>
              <w:spacing w:after="0" w:line="240"/>
            </w:pPr>
            <w:r>
              <w:rPr>
                <w:rFonts w:ascii="Calibri" w:cs="Calibri" w:eastAsia="Calibri" w:hAnsi="Calibri"/>
                <w:sz w:val="19"/>
                <w:szCs w:val="19"/>
              </w:rPr>
              <w:t xml:space="preserve">Glioma</w:t>
            </w:r>
          </w:p>
        </w:tc>
        <w:tc>
          <w:tcPr>
            <w:tcW w:type="dxa" w:w="3304"/>
            <w:tcMar>
              <w:top w:type="dxa" w:w="60"/>
              <w:left w:type="dxa" w:w="90"/>
              <w:bottom w:type="dxa" w:w="60"/>
              <w:right w:type="dxa" w:w="90"/>
            </w:tcMar>
          </w:tcPr>
          <w:p>
            <w:pPr>
              <w:spacing w:after="0" w:line="240"/>
              <w:jc w:val="center"/>
            </w:pPr>
            <w:r>
              <w:rPr>
                <w:rFonts w:ascii="Calibri" w:cs="Calibri" w:eastAsia="Calibri" w:hAnsi="Calibri"/>
                <w:sz w:val="19"/>
                <w:szCs w:val="19"/>
              </w:rPr>
              <w:t xml:space="preserve">2.29</w:t>
            </w:r>
          </w:p>
        </w:tc>
        <w:tc>
          <w:tcPr>
            <w:tcW w:type="dxa" w:w="3303"/>
            <w:tcMar>
              <w:top w:type="dxa" w:w="60"/>
              <w:left w:type="dxa" w:w="90"/>
              <w:bottom w:type="dxa" w:w="60"/>
              <w:right w:type="dxa" w:w="90"/>
            </w:tcMar>
          </w:tcPr>
          <w:p>
            <w:pPr>
              <w:spacing w:after="0" w:line="240"/>
              <w:jc w:val="center"/>
            </w:pPr>
            <w:r>
              <w:rPr>
                <w:rFonts w:ascii="Calibri" w:cs="Calibri" w:eastAsia="Calibri" w:hAnsi="Calibri"/>
                <w:sz w:val="19"/>
                <w:szCs w:val="19"/>
              </w:rPr>
              <w:t xml:space="preserve">0.51</w:t>
            </w:r>
          </w:p>
        </w:tc>
      </w:tr>
      <w:tr>
        <w:tc>
          <w:tcPr>
            <w:tcW w:type="dxa" w:w="2753"/>
            <w:tcMar>
              <w:top w:type="dxa" w:w="60"/>
              <w:left w:type="dxa" w:w="90"/>
              <w:bottom w:type="dxa" w:w="60"/>
              <w:right w:type="dxa" w:w="90"/>
            </w:tcMar>
          </w:tcPr>
          <w:p>
            <w:pPr>
              <w:spacing w:after="0" w:line="240"/>
            </w:pPr>
            <w:r>
              <w:rPr>
                <w:rFonts w:ascii="Calibri" w:cs="Calibri" w:eastAsia="Calibri" w:hAnsi="Calibri"/>
                <w:sz w:val="19"/>
                <w:szCs w:val="19"/>
              </w:rPr>
              <w:t xml:space="preserve">Pituitary</w:t>
            </w:r>
          </w:p>
        </w:tc>
        <w:tc>
          <w:tcPr>
            <w:tcW w:type="dxa" w:w="3304"/>
            <w:tcMar>
              <w:top w:type="dxa" w:w="60"/>
              <w:left w:type="dxa" w:w="90"/>
              <w:bottom w:type="dxa" w:w="60"/>
              <w:right w:type="dxa" w:w="90"/>
            </w:tcMar>
          </w:tcPr>
          <w:p>
            <w:pPr>
              <w:spacing w:after="0" w:line="240"/>
              <w:jc w:val="center"/>
            </w:pPr>
            <w:r>
              <w:rPr>
                <w:rFonts w:ascii="Calibri" w:cs="Calibri" w:eastAsia="Calibri" w:hAnsi="Calibri"/>
                <w:sz w:val="19"/>
                <w:szCs w:val="19"/>
              </w:rPr>
              <w:t xml:space="preserve">1.47</w:t>
            </w:r>
          </w:p>
        </w:tc>
        <w:tc>
          <w:tcPr>
            <w:tcW w:type="dxa" w:w="3303"/>
            <w:tcMar>
              <w:top w:type="dxa" w:w="60"/>
              <w:left w:type="dxa" w:w="90"/>
              <w:bottom w:type="dxa" w:w="60"/>
              <w:right w:type="dxa" w:w="90"/>
            </w:tcMar>
          </w:tcPr>
          <w:p>
            <w:pPr>
              <w:spacing w:after="0" w:line="240"/>
              <w:jc w:val="center"/>
            </w:pPr>
            <w:r>
              <w:rPr>
                <w:rFonts w:ascii="Calibri" w:cs="Calibri" w:eastAsia="Calibri" w:hAnsi="Calibri"/>
                <w:sz w:val="19"/>
                <w:szCs w:val="19"/>
              </w:rPr>
              <w:t xml:space="preserve">0.21</w:t>
            </w:r>
          </w:p>
        </w:tc>
      </w:tr>
    </w:tbl>
    <w:p>
      <w:pPr>
        <w:spacing w:after="120"/>
      </w:pPr>
      <w:r>
        <w:rPr>
          <w:sz w:val="16"/>
          <w:szCs w:val="16"/>
        </w:rPr>
        <w:t xml:space="preserve"/>
      </w:r>
    </w:p>
    <w:p>
      <w:pPr>
        <w:spacing w:after="120" w:line="276"/>
      </w:pPr>
      <w:r>
        <w:rPr>
          <w:rFonts w:ascii="Calibri" w:cs="Calibri" w:eastAsia="Calibri" w:hAnsi="Calibri"/>
          <w:sz w:val="22"/>
          <w:szCs w:val="22"/>
        </w:rPr>
        <w:t xml:space="preserve">Concentration exceeds the uniform-map baseline for all three classes and is three- to sevenfold higher on correct than on incorrect predictions, which is consistent with greater dependence on lesion-containing regions when the prediction is correct. We are careful not to overstate it: an attribution map does not establish clinically valid reasoning, and localisation remains incomplete, particularly for pituitary lesions whose masks occupy under 1% of the image. Figures are computed on a stratified random sample of 100 images per class, with the sampling seed reported.</w:t>
      </w:r>
    </w:p>
    <w:p>
      <w:pPr>
        <w:spacing w:after="120" w:line="276"/>
      </w:pPr>
      <w:r>
        <w:rPr>
          <w:rFonts w:ascii="Calibri" w:cs="Calibri" w:eastAsia="Calibri" w:hAnsi="Calibri"/>
          <w:sz w:val="22"/>
          <w:szCs w:val="22"/>
        </w:rPr>
        <w:t xml:space="preserve">Gradient-based attribution on the backbone and occlusion on the deployed pipeline disagreed sharply for pituitary tumours: on the four-class cohort, pooling correct and incorrect predictions so the two methods are compared on the same images, mean concentration is 0.28 under Grad-CAM against 2.25 under occlusion. The discrepancy likely reflects, at least in part, the coarse 7×7 grid on which Grad-CAM for this architecture is computed, together with the fact that Grad-CAM targets the CNN classifier rather than the hybrid decision boundary. We report the occlusion figures for the hybrid and describe the limitation rather than reconciling the two methods.</w:t>
      </w:r>
    </w:p>
    <w:p>
      <w:pPr>
        <w:spacing w:after="120" w:line="276"/>
      </w:pPr>
      <w:r>
        <w:rPr>
          <w:rFonts w:ascii="Calibri" w:cs="Calibri" w:eastAsia="Calibri" w:hAnsi="Calibri"/>
          <w:sz w:val="22"/>
          <w:szCs w:val="22"/>
        </w:rPr>
        <w:t xml:space="preserve">For the same reason we do not report the absolute spatial spread of attribution. The share of attribution falling outside the head is approximately 0.50 for every class, but the background occupies 49.9% of the resized image; at this grid resolution the metric carries no information and is withdrawn.</w:t>
      </w:r>
    </w:p>
    <w:p>
      <w:pPr>
        <w:spacing w:after="120" w:line="276"/>
      </w:pPr>
      <w:r>
        <w:rPr>
          <w:rFonts w:ascii="Calibri" w:cs="Calibri" w:eastAsia="Calibri" w:hAnsi="Calibri"/>
          <w:b/>
          <w:bCs/>
          <w:sz w:val="22"/>
          <w:szCs w:val="22"/>
        </w:rPr>
        <w:t xml:space="preserve">Error analysis. </w:t>
      </w:r>
      <w:r>
        <w:rPr>
          <w:rFonts w:ascii="Calibri" w:cs="Calibri" w:eastAsia="Calibri" w:hAnsi="Calibri"/>
          <w:sz w:val="22"/>
          <w:szCs w:val="22"/>
        </w:rPr>
        <w:t xml:space="preserve">Meningioma is the weakest class (F1 0.877 in the four-class configuration), with the dominant confusions in both directions between glioma and meningioma. This is consistent with the clinical difficulty of the distinction: both present as intracranial lesions of variable appearance, whereas pituitary tumours occupy a fixed anatomical position. We note that the original manuscript reported 93% for meningioma, its largest single overstatement, and cited that class as the basis for the hybrid’s superiority. Representative correctly and incorrectly classified cases with attribution overlays are provided for each class, selected at random within stratum, with the selection procedure and seed reported.</w:t>
      </w:r>
    </w:p>
    <w:p>
      <w:pPr>
        <w:pStyle w:val="Heading2"/>
        <w:spacing w:after="140" w:before="300"/>
      </w:pPr>
      <w:r>
        <w:rPr>
          <w:rFonts w:ascii="Calibri" w:cs="Calibri" w:eastAsia="Calibri" w:hAnsi="Calibri"/>
          <w:b/>
          <w:bCs/>
          <w:color w:val="2E5496"/>
          <w:sz w:val="24"/>
          <w:szCs w:val="24"/>
        </w:rPr>
        <w:t xml:space="preserve">Point 10 — Literature, discussion, limitations and reporting guidance</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Revise the literature review, discussion, limitations, and conclusion to provide critical clinical interpretation, acknowledge dataset and domain-shift limitations, moderate deployment claims, and comply with relevant medical-AI reporting guidance.</w:t>
      </w:r>
    </w:p>
    <w:p>
      <w:pPr>
        <w:spacing w:after="120" w:line="276"/>
      </w:pPr>
      <w:r>
        <w:rPr>
          <w:rFonts w:ascii="Calibri" w:cs="Calibri" w:eastAsia="Calibri" w:hAnsi="Calibri"/>
          <w:b/>
          <w:bCs/>
          <w:sz w:val="22"/>
          <w:szCs w:val="22"/>
        </w:rPr>
        <w:t xml:space="preserve">Literature review. </w:t>
      </w:r>
      <w:r>
        <w:rPr>
          <w:rFonts w:ascii="Calibri" w:cs="Calibri" w:eastAsia="Calibri" w:hAnsi="Calibri"/>
          <w:sz w:val="22"/>
          <w:szCs w:val="22"/>
        </w:rPr>
        <w:t xml:space="preserve">The review is restructured around a comparison table characterising each prior study by dataset, whether patient-level splitting was performed, whether duplicate removal was performed, and whether external validation was conducted. This makes it possible to explain why accuracies of 98–99% reported on this benchmark are not directly comparable with ours, rather than simply listing them. We show that our own four-class pipeline reaches 0.9756 under the evaluation protocol those studies use and 0.9405 under a leakage-controlled one.</w:t>
      </w:r>
    </w:p>
    <w:p>
      <w:pPr>
        <w:spacing w:after="120" w:line="276"/>
      </w:pPr>
      <w:r>
        <w:rPr>
          <w:rFonts w:ascii="Calibri" w:cs="Calibri" w:eastAsia="Calibri" w:hAnsi="Calibri"/>
          <w:b/>
          <w:bCs/>
          <w:sz w:val="22"/>
          <w:szCs w:val="22"/>
        </w:rPr>
        <w:t xml:space="preserve">Discussion. </w:t>
      </w:r>
      <w:r>
        <w:rPr>
          <w:rFonts w:ascii="Calibri" w:cs="Calibri" w:eastAsia="Calibri" w:hAnsi="Calibri"/>
          <w:sz w:val="22"/>
          <w:szCs w:val="22"/>
        </w:rPr>
        <w:t xml:space="preserve">The discussion is rewritten around the three measurements in Table R1 and their convergence. Causal language is used carefully throughout: the third-party contrast is described as leakage-associated inflation, not inflation caused by leakage, because overlap status is not randomly assigned. The within-image paired analysis is the strongest of the three, because each image serves as its own control, and it is supported by a negative control on 3,699 non-overlapping images with randomly assigned fold labels which produced differences of −0.22 to +0.25 percentage points with all intervals spanning zero.</w:t>
      </w:r>
    </w:p>
    <w:p>
      <w:pPr>
        <w:spacing w:after="120" w:line="276"/>
      </w:pPr>
      <w:r>
        <w:rPr>
          <w:rFonts w:ascii="Calibri" w:cs="Calibri" w:eastAsia="Calibri" w:hAnsi="Calibri"/>
          <w:sz w:val="22"/>
          <w:szCs w:val="22"/>
        </w:rPr>
        <w:t xml:space="preserve">We also report, rather than omit, the analysis that weakened one of our own hypotheses. The observational contrast on the third-party release attenuated from approximately 6 to approximately 2 percentage points when the comparison group was restricted to images at nearest distance ≥12 bits, and the restricted contrast was not statistically significant. The attenuation may reflect both the reduced sample size of that subset and heterogeneity within the non-overlapping cohort, and we do not interpret it as demonstrating a monotonic relationship between hash distance and performance. The within-image paired analysis is less exposed to that heterogeneity because the evaluated image serves as its own control.</w:t>
      </w:r>
    </w:p>
    <w:p>
      <w:pPr>
        <w:spacing w:after="120" w:line="276"/>
      </w:pPr>
      <w:r>
        <w:rPr>
          <w:rFonts w:ascii="Calibri" w:cs="Calibri" w:eastAsia="Calibri" w:hAnsi="Calibri"/>
          <w:b/>
          <w:bCs/>
          <w:sz w:val="22"/>
          <w:szCs w:val="22"/>
        </w:rPr>
        <w:t xml:space="preserve">Limitations, stated without hedging:</w:t>
      </w:r>
    </w:p>
    <w:p>
      <w:pPr>
        <w:pStyle w:val="ListParagraph"/>
        <w:numPr>
          <w:ilvl w:val="0"/>
          <w:numId w:val="3"/>
        </w:numPr>
        <w:spacing w:after="80" w:line="276"/>
      </w:pPr>
      <w:r>
        <w:rPr>
          <w:rFonts w:ascii="Calibri" w:cs="Calibri" w:eastAsia="Calibri" w:hAnsi="Calibri"/>
          <w:sz w:val="22"/>
          <w:szCs w:val="22"/>
        </w:rPr>
        <w:t xml:space="preserve">No independent external validation was performed, for the reasons given under Point 5. This is the principal limitation.</w:t>
      </w:r>
    </w:p>
    <w:p>
      <w:pPr>
        <w:pStyle w:val="ListParagraph"/>
        <w:numPr>
          <w:ilvl w:val="0"/>
          <w:numId w:val="3"/>
        </w:numPr>
        <w:spacing w:after="80" w:line="276"/>
      </w:pPr>
      <w:r>
        <w:rPr>
          <w:rFonts w:ascii="Calibri" w:cs="Calibri" w:eastAsia="Calibri" w:hAnsi="Calibri"/>
          <w:sz w:val="22"/>
          <w:szCs w:val="22"/>
        </w:rPr>
        <w:t xml:space="preserve">Patient identifiers exist for only one of the three repositories. Elsewhere, leakage-control groups are inferred from image similarity and are not patients; intervals for those classes remain optimistic if the repositories contain multiple non-duplicate slices per patient.</w:t>
      </w:r>
    </w:p>
    <w:p>
      <w:pPr>
        <w:pStyle w:val="ListParagraph"/>
        <w:numPr>
          <w:ilvl w:val="0"/>
          <w:numId w:val="3"/>
        </w:numPr>
        <w:spacing w:after="80" w:line="276"/>
      </w:pPr>
      <w:r>
        <w:rPr>
          <w:rFonts w:ascii="Calibri" w:cs="Calibri" w:eastAsia="Calibri" w:hAnsi="Calibri"/>
          <w:sz w:val="22"/>
          <w:szCs w:val="22"/>
        </w:rPr>
        <w:t xml:space="preserve">The no-tumour class derives from a single repository with strong source-specific image characteristics that are distinguishable from those of the tumour repositories. Its per-class figures cannot be interpreted as diagnostic performance without that qualification. Masking the background does not remove the confound: the repository remains recoverable from the head region alone, indicating that source-specific signal persists within the head and cannot be explained by external framing alone.</w:t>
      </w:r>
    </w:p>
    <w:p>
      <w:pPr>
        <w:pStyle w:val="ListParagraph"/>
        <w:numPr>
          <w:ilvl w:val="0"/>
          <w:numId w:val="3"/>
        </w:numPr>
        <w:spacing w:after="80" w:line="276"/>
      </w:pPr>
      <w:r>
        <w:rPr>
          <w:rFonts w:ascii="Calibri" w:cs="Calibri" w:eastAsia="Calibri" w:hAnsi="Calibri"/>
          <w:sz w:val="22"/>
          <w:szCs w:val="22"/>
        </w:rPr>
        <w:t xml:space="preserve">Glioma contributes 1,418 images from only 89 patients. Class weighting operates at the image level and therefore overstates the diversity of that class.</w:t>
      </w:r>
    </w:p>
    <w:p>
      <w:pPr>
        <w:pStyle w:val="ListParagraph"/>
        <w:numPr>
          <w:ilvl w:val="0"/>
          <w:numId w:val="3"/>
        </w:numPr>
        <w:spacing w:after="80" w:line="276"/>
      </w:pPr>
      <w:r>
        <w:rPr>
          <w:rFonts w:ascii="Calibri" w:cs="Calibri" w:eastAsia="Calibri" w:hAnsi="Calibri"/>
          <w:sz w:val="22"/>
          <w:szCs w:val="22"/>
        </w:rPr>
        <w:t xml:space="preserve">The analysis is retrospective and slice-based rather than volumetric; no comparison against radiologist performance was performed.</w:t>
      </w:r>
    </w:p>
    <w:p>
      <w:pPr>
        <w:pStyle w:val="ListParagraph"/>
        <w:numPr>
          <w:ilvl w:val="0"/>
          <w:numId w:val="3"/>
        </w:numPr>
        <w:spacing w:after="80" w:line="276"/>
      </w:pPr>
      <w:r>
        <w:rPr>
          <w:rFonts w:ascii="Calibri" w:cs="Calibri" w:eastAsia="Calibri" w:hAnsi="Calibri"/>
          <w:sz w:val="22"/>
          <w:szCs w:val="22"/>
        </w:rPr>
        <w:t xml:space="preserve">Attribution does not establish reasoning. Concentration measures where a decision is sensitive to occlusion, not whether the decision is clinically valid.</w:t>
      </w:r>
    </w:p>
    <w:p>
      <w:pPr>
        <w:pStyle w:val="ListParagraph"/>
        <w:numPr>
          <w:ilvl w:val="0"/>
          <w:numId w:val="3"/>
        </w:numPr>
        <w:spacing w:after="80" w:line="276"/>
      </w:pPr>
      <w:r>
        <w:rPr>
          <w:rFonts w:ascii="Calibri" w:cs="Calibri" w:eastAsia="Calibri" w:hAnsi="Calibri"/>
          <w:sz w:val="22"/>
          <w:szCs w:val="22"/>
        </w:rPr>
        <w:t xml:space="preserve">Hyperparameter selection for the classical heads carries the residual optimism described under Point 6.</w:t>
      </w:r>
    </w:p>
    <w:p>
      <w:pPr>
        <w:pStyle w:val="ListParagraph"/>
        <w:numPr>
          <w:ilvl w:val="0"/>
          <w:numId w:val="3"/>
        </w:numPr>
        <w:spacing w:after="80" w:line="276"/>
      </w:pPr>
      <w:r>
        <w:rPr>
          <w:rFonts w:ascii="Calibri" w:cs="Calibri" w:eastAsia="Calibri" w:hAnsi="Calibri"/>
          <w:sz w:val="22"/>
          <w:szCs w:val="22"/>
        </w:rPr>
        <w:t xml:space="preserve">The aggregated release of the benchmark is mutable and has been revised since our original submission; we report the version used and the date.</w:t>
      </w:r>
    </w:p>
    <w:p>
      <w:pPr>
        <w:spacing w:after="120" w:line="276"/>
      </w:pPr>
      <w:r>
        <w:rPr>
          <w:rFonts w:ascii="Calibri" w:cs="Calibri" w:eastAsia="Calibri" w:hAnsi="Calibri"/>
          <w:b/>
          <w:bCs/>
          <w:sz w:val="22"/>
          <w:szCs w:val="22"/>
        </w:rPr>
        <w:t xml:space="preserve">Moderated conclusions. </w:t>
      </w:r>
      <w:r>
        <w:rPr>
          <w:rFonts w:ascii="Calibri" w:cs="Calibri" w:eastAsia="Calibri" w:hAnsi="Calibri"/>
          <w:sz w:val="22"/>
          <w:szCs w:val="22"/>
        </w:rPr>
        <w:t xml:space="preserve">All claims of clinical readiness, decision support and second-opinion utility are removed. The conclusion now states that the results support technical feasibility under a leakage-controlled retrospective benchmark, and that substantial source confounding, the absence of verifiable external validation, and class-dependent attribution quality preclude claims of clinical readiness.</w:t>
      </w:r>
    </w:p>
    <w:p>
      <w:pPr>
        <w:spacing w:after="120" w:line="276"/>
      </w:pPr>
      <w:r>
        <w:rPr>
          <w:rFonts w:ascii="Calibri" w:cs="Calibri" w:eastAsia="Calibri" w:hAnsi="Calibri"/>
          <w:b/>
          <w:bCs/>
          <w:sz w:val="22"/>
          <w:szCs w:val="22"/>
        </w:rPr>
        <w:t xml:space="preserve">Reporting guidance. </w:t>
      </w:r>
      <w:r>
        <w:rPr>
          <w:rFonts w:ascii="Calibri" w:cs="Calibri" w:eastAsia="Calibri" w:hAnsi="Calibri"/>
          <w:sz w:val="22"/>
          <w:szCs w:val="22"/>
        </w:rPr>
        <w:t xml:space="preserve">A completed CLAIM 2024 checklist is provided as supplementary material, with particular attention to data partitioning, internal versus external testing, and acquisition parameters. Reporting was additionally informed by STARD-AI where applicable. Where a checklist item cannot be satisfied — external testing, and acquisition parameters for two of the three repositories — we record that it was not satisfied and why, rather than leaving the item blank.</w:t>
      </w:r>
    </w:p>
    <w:p>
      <w:pPr>
        <w:pBdr>
          <w:bottom w:val="single" w:color="BFBFBF" w:sz="6" w:space="1"/>
        </w:pBdr>
        <w:spacing w:after="200" w:before="160"/>
      </w:pPr>
      <w:r>
        <w:rPr>
          <w:rFonts w:ascii="Calibri" w:cs="Calibri" w:eastAsia="Calibri" w:hAnsi="Calibri"/>
          <w:sz w:val="2"/>
          <w:szCs w:val="2"/>
        </w:rPr>
        <w:t xml:space="preserve"/>
      </w:r>
    </w:p>
    <w:p>
      <w:pPr>
        <w:pStyle w:val="Heading1"/>
        <w:spacing w:after="160" w:before="360"/>
      </w:pPr>
      <w:r>
        <w:rPr>
          <w:rFonts w:ascii="Calibri" w:cs="Calibri" w:eastAsia="Calibri" w:hAnsi="Calibri"/>
          <w:b/>
          <w:bCs/>
          <w:color w:val="1F3864"/>
          <w:sz w:val="28"/>
          <w:szCs w:val="28"/>
        </w:rPr>
        <w:t xml:space="preserve">D. Data and code availability</w:t>
      </w:r>
    </w:p>
    <w:p>
      <w:pPr>
        <w:spacing w:after="120" w:line="276"/>
      </w:pPr>
      <w:r>
        <w:rPr>
          <w:rFonts w:ascii="Calibri" w:cs="Calibri" w:eastAsia="Calibri" w:hAnsi="Calibri"/>
          <w:sz w:val="22"/>
          <w:szCs w:val="22"/>
        </w:rPr>
        <w:t xml:space="preserve">All code is deposited in a public repository under an open licence, including the provenance reconstruction, the deduplication and grouping pipeline, split generation with its verification checks, the training and evaluation code, the interpretability analyses, and the external contamination audit. The repository includes configuration files, the dependency lock file, split assignments, per-image out-of-fold predictions and audit manifests required to reproduce every number in the manuscript from the source repositories. A tagged, immutable release archived with a persistent identifier is cited in the manuscript so that the version underlying the reported results is fixed.</w:t>
      </w:r>
    </w:p>
    <w:p>
      <w:pPr>
        <w:spacing w:after="120" w:line="276"/>
      </w:pPr>
      <w:r>
        <w:rPr>
          <w:rFonts w:ascii="Calibri" w:cs="Calibri" w:eastAsia="Calibri" w:hAnsi="Calibri"/>
          <w:sz w:val="22"/>
          <w:szCs w:val="22"/>
        </w:rPr>
        <w:t xml:space="preserve">The external screening protocol was committed before the screening was run; the commit history evidences that the criteria were not chosen after seeing the results. Every figure in the manuscript and in this letter is additionally verified programmatically against the stored run artefacts, so that no reported value can drift from the analysis that produced it.</w:t>
      </w:r>
    </w:p>
    <w:p>
      <w:pPr>
        <w:pStyle w:val="Heading1"/>
        <w:spacing w:after="160" w:before="360"/>
      </w:pPr>
      <w:r>
        <w:rPr>
          <w:rFonts w:ascii="Calibri" w:cs="Calibri" w:eastAsia="Calibri" w:hAnsi="Calibri"/>
          <w:b/>
          <w:bCs/>
          <w:color w:val="1F3864"/>
          <w:sz w:val="28"/>
          <w:szCs w:val="28"/>
        </w:rPr>
        <w:t xml:space="preserve">E. Closing</w:t>
      </w:r>
    </w:p>
    <w:p>
      <w:pPr>
        <w:spacing w:after="120" w:line="276"/>
      </w:pPr>
      <w:r>
        <w:rPr>
          <w:rFonts w:ascii="Calibri" w:cs="Calibri" w:eastAsia="Calibri" w:hAnsi="Calibri"/>
          <w:sz w:val="22"/>
          <w:szCs w:val="22"/>
        </w:rPr>
        <w:t xml:space="preserve">We are conscious that this response reports more errors in our original submission than the review identified, and that the revised results are substantially lower than those we first reported. We think that is the correct outcome of taking the ten requirements seriously. The revised manuscript makes a smaller claim about model performance and a larger one about how performance on this benchmark should be measured, and we believe the second is the more useful contribution.</w:t>
      </w:r>
    </w:p>
    <w:p>
      <w:pPr>
        <w:spacing w:after="120" w:line="276"/>
      </w:pPr>
      <w:r>
        <w:rPr>
          <w:rFonts w:ascii="Calibri" w:cs="Calibri" w:eastAsia="Calibri" w:hAnsi="Calibri"/>
          <w:sz w:val="22"/>
          <w:szCs w:val="22"/>
        </w:rPr>
        <w:t xml:space="preserve">We would welcome the Editor’s guidance on the two questions raised at the head of this letter before the revision is assessed.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2026-09-17T19:23:19.113Z</dcterms:created>
  <dcterms:modified xsi:type="dcterms:W3CDTF">2026-09-17T19:23:19.122Z</dcterms:modified>
</cp:coreProperties>
</file>

<file path=docProps/custom.xml><?xml version="1.0" encoding="utf-8"?>
<Properties xmlns="http://schemas.openxmlformats.org/officeDocument/2006/custom-properties" xmlns:vt="http://schemas.openxmlformats.org/officeDocument/2006/docPropsVTypes"/>
</file>