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2"/>
          <w:szCs w:val="32"/>
        </w:rPr>
        <w:t xml:space="preserve">Response to the Editor and Reviewers</w:t>
      </w:r>
    </w:p>
    <w:p>
      <w:pPr>
        <w:spacing w:after="240"/>
        <w:jc w:val="center"/>
      </w:pPr>
      <w:r>
        <w:rPr>
          <w:rFonts w:ascii="Calibri" w:cs="Calibri" w:eastAsia="Calibri" w:hAnsi="Calibri"/>
          <w:color w:val="595959"/>
          <w:sz w:val="22"/>
          <w:szCs w:val="22"/>
        </w:rPr>
        <w:t xml:space="preserve">Mandatory Revisions — Point-by-Point Response</w:t>
      </w:r>
    </w:p>
    <w:p>
      <w:pPr>
        <w:spacing w:after="120" w:line="276"/>
      </w:pPr>
      <w:r>
        <w:rPr>
          <w:rFonts w:ascii="Calibri" w:cs="Calibri" w:eastAsia="Calibri" w:hAnsi="Calibri"/>
          <w:b/>
          <w:bCs/>
          <w:sz w:val="22"/>
          <w:szCs w:val="22"/>
        </w:rPr>
        <w:t xml:space="preserve">Manuscript: </w:t>
      </w:r>
      <w:r>
        <w:rPr>
          <w:rFonts w:ascii="Calibri" w:cs="Calibri" w:eastAsia="Calibri" w:hAnsi="Calibri"/>
          <w:sz w:val="22"/>
          <w:szCs w:val="22"/>
        </w:rPr>
        <w:t xml:space="preserve">Hybrid Deep Learning Using MRI Scans for Advancements of Brain Tumours Multi-Classifications</w:t>
      </w:r>
    </w:p>
    <w:p>
      <w:pPr>
        <w:spacing w:after="120" w:line="276"/>
      </w:pPr>
      <w:r>
        <w:rPr>
          <w:rFonts w:ascii="Calibri" w:cs="Calibri" w:eastAsia="Calibri" w:hAnsi="Calibri"/>
          <w:b/>
          <w:bCs/>
          <w:sz w:val="22"/>
          <w:szCs w:val="22"/>
        </w:rPr>
        <w:t xml:space="preserve">Proposed revised title: </w:t>
      </w:r>
      <w:r>
        <w:rPr>
          <w:rFonts w:ascii="Calibri" w:cs="Calibri" w:eastAsia="Calibri" w:hAnsi="Calibri"/>
          <w:sz w:val="22"/>
          <w:szCs w:val="22"/>
        </w:rPr>
        <w:t xml:space="preserve">Leakage, Redundancy and Acquisition Shortcuts in a Widely Used Brain Tumour MRI Benchmark: A Provenance-Reconstructed, Patient-Level Re-evaluation of Hybrid Deep-Feature Classifiers</w:t>
      </w:r>
    </w:p>
    <w:p>
      <w:pPr>
        <w:pBdr>
          <w:bottom w:val="single" w:color="BFBFBF" w:sz="6" w:space="1"/>
        </w:pBdr>
        <w:spacing w:after="200" w:before="160"/>
      </w:pPr>
      <w:r>
        <w:rPr>
          <w:rFonts w:ascii="Calibri" w:cs="Calibri" w:eastAsia="Calibri" w:hAnsi="Calibri"/>
          <w:sz w:val="2"/>
          <w:szCs w:val="2"/>
        </w:rPr>
        <w:t xml:space="preserve"/>
      </w:r>
    </w:p>
    <w:p>
      <w:pPr>
        <w:pStyle w:val="Heading1"/>
        <w:spacing w:after="160" w:before="360"/>
      </w:pPr>
      <w:r>
        <w:rPr>
          <w:rFonts w:ascii="Calibri" w:cs="Calibri" w:eastAsia="Calibri" w:hAnsi="Calibri"/>
          <w:b/>
          <w:bCs/>
          <w:color w:val="1F3864"/>
          <w:sz w:val="28"/>
          <w:szCs w:val="28"/>
        </w:rPr>
        <w:t xml:space="preserve">A note to the Editor before the point-by-point response</w:t>
      </w:r>
    </w:p>
    <w:p>
      <w:pPr>
        <w:spacing w:after="120" w:line="276"/>
      </w:pPr>
      <w:r>
        <w:rPr>
          <w:rFonts w:ascii="Calibri" w:cs="Calibri" w:eastAsia="Calibri" w:hAnsi="Calibri"/>
          <w:sz w:val="22"/>
          <w:szCs w:val="22"/>
        </w:rPr>
        <w:t xml:space="preserve">We are grateful for the ten mandatory revisions. Addressing them did not produce a corrected version of the original study; it produced a different one. Working through the requirements on dataset description, patient-level splitting and duplicate removal obliged us to reconstruct the provenance of the benchmark from its source repositories, and that reconstruction invalidated the evaluation on which our original results rested. Every number in the submitted manuscript has been withdrawn and recomputed.</w:t>
      </w:r>
    </w:p>
    <w:p>
      <w:pPr>
        <w:spacing w:after="120" w:line="276"/>
      </w:pPr>
      <w:r>
        <w:rPr>
          <w:rFonts w:ascii="Calibri" w:cs="Calibri" w:eastAsia="Calibri" w:hAnsi="Calibri"/>
          <w:sz w:val="22"/>
          <w:szCs w:val="22"/>
        </w:rPr>
        <w:t xml:space="preserve">We also have to report errors in the original submission that the review did not raise and that we found ourselves during this work. They are set out in Section B below. We consider it necessary to state them plainly rather than to let corrected numbers appear without explanation.</w:t>
      </w:r>
    </w:p>
    <w:p>
      <w:pPr>
        <w:spacing w:after="120" w:line="276"/>
      </w:pPr>
      <w:r>
        <w:rPr>
          <w:rFonts w:ascii="Calibri" w:cs="Calibri" w:eastAsia="Calibri" w:hAnsi="Calibri"/>
          <w:sz w:val="22"/>
          <w:szCs w:val="22"/>
        </w:rPr>
        <w:t xml:space="preserve">Because the scope of the study has changed, we would welcome the Editor’s guidance on two matters before the revision is assessed:</w:t>
      </w:r>
    </w:p>
    <w:p>
      <w:pPr>
        <w:pStyle w:val="ListParagraph"/>
        <w:numPr>
          <w:ilvl w:val="0"/>
          <w:numId w:val="2"/>
        </w:numPr>
        <w:spacing w:after="100" w:line="276"/>
      </w:pPr>
      <w:r>
        <w:rPr>
          <w:rFonts w:ascii="Calibri" w:cs="Calibri" w:eastAsia="Calibri" w:hAnsi="Calibri"/>
          <w:sz w:val="22"/>
          <w:szCs w:val="22"/>
        </w:rPr>
        <w:t xml:space="preserve">Scope. The revised manuscript is primarily an audit of a widely used public benchmark, with the hybrid-classifier comparison retained as a secondary contribution. If this falls outside the intended scope of the journal we would rather know now than after a second round of review.</w:t>
      </w:r>
    </w:p>
    <w:p>
      <w:pPr>
        <w:pStyle w:val="ListParagraph"/>
        <w:numPr>
          <w:ilvl w:val="0"/>
          <w:numId w:val="2"/>
        </w:numPr>
        <w:spacing w:after="100" w:line="276"/>
      </w:pPr>
      <w:r>
        <w:rPr>
          <w:rFonts w:ascii="Calibri" w:cs="Calibri" w:eastAsia="Calibri" w:hAnsi="Calibri"/>
          <w:sz w:val="22"/>
          <w:szCs w:val="22"/>
        </w:rPr>
        <w:t xml:space="preserve">Point 5. We were unable to satisfy the requirement for a genuinely independent source-based test set, and we believe we can show that no such set is currently available in the public domain for this task. Our evidence is given under Point 5. If the Editor judges that requirement to be non-negotiable, the manuscript cannot proceed in its present form and we would prefer to withdraw rather than present a contaminated evaluation as external validation.</w:t>
      </w:r>
    </w:p>
    <w:p>
      <w:pPr>
        <w:spacing w:after="120" w:line="276"/>
      </w:pPr>
      <w:r>
        <w:rPr>
          <w:rFonts w:ascii="Calibri" w:cs="Calibri" w:eastAsia="Calibri" w:hAnsi="Calibri"/>
          <w:sz w:val="22"/>
          <w:szCs w:val="22"/>
        </w:rPr>
        <w:t xml:space="preserve">All code, configuration files, split assignments, per-image predictions and audit manifests are deposited in a public repository, and the analyses below can be reproduced end to end from the source repositories.</w:t>
      </w:r>
    </w:p>
    <w:p>
      <w:pPr>
        <w:pBdr>
          <w:bottom w:val="single" w:color="BFBFBF" w:sz="6" w:space="1"/>
        </w:pBdr>
        <w:spacing w:after="200" w:before="160"/>
      </w:pPr>
      <w:r>
        <w:rPr>
          <w:rFonts w:ascii="Calibri" w:cs="Calibri" w:eastAsia="Calibri" w:hAnsi="Calibri"/>
          <w:sz w:val="2"/>
          <w:szCs w:val="2"/>
        </w:rPr>
        <w:t xml:space="preserve"/>
      </w:r>
    </w:p>
    <w:p>
      <w:pPr>
        <w:pStyle w:val="Heading1"/>
        <w:spacing w:after="160" w:before="360"/>
      </w:pPr>
      <w:r>
        <w:rPr>
          <w:rFonts w:ascii="Calibri" w:cs="Calibri" w:eastAsia="Calibri" w:hAnsi="Calibri"/>
          <w:b/>
          <w:bCs/>
          <w:color w:val="1F3864"/>
          <w:sz w:val="28"/>
          <w:szCs w:val="28"/>
        </w:rPr>
        <w:t xml:space="preserve">B. Corrections to the original submission</w:t>
      </w:r>
    </w:p>
    <w:p>
      <w:pPr>
        <w:spacing w:after="120" w:line="276"/>
      </w:pPr>
      <w:r>
        <w:rPr>
          <w:rFonts w:ascii="Calibri" w:cs="Calibri" w:eastAsia="Calibri" w:hAnsi="Calibri"/>
          <w:sz w:val="22"/>
          <w:szCs w:val="22"/>
        </w:rPr>
        <w:t xml:space="preserve">These errors were found by re-examining our own code during the revision. None was raised by the reviewers. We list them because the revised numbers cannot otherwise be reconciled with the submitted ones.</w:t>
      </w:r>
    </w:p>
    <w:p>
      <w:pPr>
        <w:spacing w:after="120" w:line="276"/>
      </w:pPr>
      <w:r>
        <w:rPr>
          <w:rFonts w:ascii="Calibri" w:cs="Calibri" w:eastAsia="Calibri" w:hAnsi="Calibri"/>
          <w:b/>
          <w:bCs/>
          <w:sz w:val="22"/>
          <w:szCs w:val="22"/>
        </w:rPr>
        <w:t xml:space="preserve">B1. The reported “accuracy” was not accuracy. </w:t>
      </w:r>
      <w:r>
        <w:rPr>
          <w:rFonts w:ascii="Calibri" w:cs="Calibri" w:eastAsia="Calibri" w:hAnsi="Calibri"/>
          <w:sz w:val="22"/>
          <w:szCs w:val="22"/>
        </w:rPr>
        <w:t xml:space="preserve">Per-class values in Tables 4 and 5 of the original manuscript were computed as TP/(TP+FP+FN). This is the Jaccard index; it omits true negatives. The overall accuracy of the EfficientNetB0+SVM configuration under the original evaluation was 97.97%, not the 96% reported, and the per-class figures were correspondingly understated. Both quantities are now reported under their correct names, and the Jaccard index is retained in the supplementary tables so that the original values can be reconciled.</w:t>
      </w:r>
    </w:p>
    <w:p>
      <w:pPr>
        <w:spacing w:after="120" w:line="276"/>
      </w:pPr>
      <w:r>
        <w:rPr>
          <w:rFonts w:ascii="Calibri" w:cs="Calibri" w:eastAsia="Calibri" w:hAnsi="Calibri"/>
          <w:b/>
          <w:bCs/>
          <w:sz w:val="22"/>
          <w:szCs w:val="22"/>
        </w:rPr>
        <w:t xml:space="preserve">B2. The compared models were evaluated on different data. </w:t>
      </w:r>
      <w:r>
        <w:rPr>
          <w:rFonts w:ascii="Calibri" w:cs="Calibri" w:eastAsia="Calibri" w:hAnsi="Calibri"/>
          <w:sz w:val="22"/>
          <w:szCs w:val="22"/>
        </w:rPr>
        <w:t xml:space="preserve">The standalone CNN was evaluated on the held-out test directory; the hybrid classifiers were evaluated on a random 20% partition of the training directory. The headline comparison of 96% against 95% was therefore between numbers computed on different samples, and no paired test was possible. In the revision every model is scored on the same pooled out-of-fold predictions.</w:t>
      </w:r>
    </w:p>
    <w:p>
      <w:pPr>
        <w:spacing w:after="120" w:line="276"/>
      </w:pPr>
      <w:r>
        <w:rPr>
          <w:rFonts w:ascii="Calibri" w:cs="Calibri" w:eastAsia="Calibri" w:hAnsi="Calibri"/>
          <w:b/>
          <w:bCs/>
          <w:sz w:val="22"/>
          <w:szCs w:val="22"/>
        </w:rPr>
        <w:t xml:space="preserve">B3. Model selection used the test set. </w:t>
      </w:r>
      <w:r>
        <w:rPr>
          <w:rFonts w:ascii="Calibri" w:cs="Calibri" w:eastAsia="Calibri" w:hAnsi="Calibri"/>
          <w:sz w:val="22"/>
          <w:szCs w:val="22"/>
        </w:rPr>
        <w:t xml:space="preserve">The best CNN checkpoint was chosen by accuracy on the same held-out set on which performance was then reported. The revision uses an inner validation fold drawn from the training portion for early stopping; the outer test fold is never consulted for any choice.</w:t>
      </w:r>
    </w:p>
    <w:p>
      <w:pPr>
        <w:spacing w:after="120" w:line="276"/>
      </w:pPr>
      <w:r>
        <w:rPr>
          <w:rFonts w:ascii="Calibri" w:cs="Calibri" w:eastAsia="Calibri" w:hAnsi="Calibri"/>
          <w:b/>
          <w:bCs/>
          <w:sz w:val="22"/>
          <w:szCs w:val="22"/>
        </w:rPr>
        <w:t xml:space="preserve">B4. Augmentation was applied to the test directory. </w:t>
      </w:r>
      <w:r>
        <w:rPr>
          <w:rFonts w:ascii="Calibri" w:cs="Calibri" w:eastAsia="Calibri" w:hAnsi="Calibri"/>
          <w:sz w:val="22"/>
          <w:szCs w:val="22"/>
        </w:rPr>
        <w:t xml:space="preserve">Our augmentation routine was executed against the Testing folder, raising it from 1,311 to approximately 6,000 images. The scalability analysis in Table 6 of the original manuscript therefore measured accuracy on progressively larger sets of synthetic copies of the test images, with the training set unchanged throughout. That table has been withdrawn in full.</w:t>
      </w:r>
    </w:p>
    <w:p>
      <w:pPr>
        <w:spacing w:after="120" w:line="276"/>
      </w:pPr>
      <w:r>
        <w:rPr>
          <w:rFonts w:ascii="Calibri" w:cs="Calibri" w:eastAsia="Calibri" w:hAnsi="Calibri"/>
          <w:b/>
          <w:bCs/>
          <w:sz w:val="22"/>
          <w:szCs w:val="22"/>
        </w:rPr>
        <w:t xml:space="preserve">B5. Evaluation was stochastic. </w:t>
      </w:r>
      <w:r>
        <w:rPr>
          <w:rFonts w:ascii="Calibri" w:cs="Calibri" w:eastAsia="Calibri" w:hAnsi="Calibri"/>
          <w:sz w:val="22"/>
          <w:szCs w:val="22"/>
        </w:rPr>
        <w:t xml:space="preserve">The same transform pipeline, including colour jitter, random horizontal flips and random rotations, was passed to both the training and the evaluation loaders. Every reported figure was therefore a single random draw and was not reproducible. Evaluation is now fully deterministic.</w:t>
      </w:r>
    </w:p>
    <w:p>
      <w:pPr>
        <w:spacing w:after="120" w:line="276"/>
      </w:pPr>
      <w:r>
        <w:rPr>
          <w:rFonts w:ascii="Calibri" w:cs="Calibri" w:eastAsia="Calibri" w:hAnsi="Calibri"/>
          <w:b/>
          <w:bCs/>
          <w:sz w:val="22"/>
          <w:szCs w:val="22"/>
        </w:rPr>
        <w:t xml:space="preserve">B6. The feature vector was not what we described. </w:t>
      </w:r>
      <w:r>
        <w:rPr>
          <w:rFonts w:ascii="Calibri" w:cs="Calibri" w:eastAsia="Calibri" w:hAnsi="Calibri"/>
          <w:sz w:val="22"/>
          <w:szCs w:val="22"/>
        </w:rPr>
        <w:t xml:space="preserve">We reported extracting 9,216 features from the global average pooling layer. In the implementation used, removing the classifier head from the backbone also removed the pooling layer, so the extracted vector was a flattened 10×10×1280 feature map of 128,000 dimensions. The revision uses a genuine pooled 1,280-dimensional vector.</w:t>
      </w:r>
    </w:p>
    <w:p>
      <w:pPr>
        <w:spacing w:after="120" w:line="276"/>
      </w:pPr>
      <w:r>
        <w:rPr>
          <w:rFonts w:ascii="Calibri" w:cs="Calibri" w:eastAsia="Calibri" w:hAnsi="Calibri"/>
          <w:b/>
          <w:bCs/>
          <w:sz w:val="22"/>
          <w:szCs w:val="22"/>
        </w:rPr>
        <w:t xml:space="preserve">B7. Further discrepancies between text and implementation. </w:t>
      </w:r>
      <w:r>
        <w:rPr>
          <w:rFonts w:ascii="Calibri" w:cs="Calibri" w:eastAsia="Calibri" w:hAnsi="Calibri"/>
          <w:sz w:val="22"/>
          <w:szCs w:val="22"/>
        </w:rPr>
        <w:t xml:space="preserve">The input resolution was 299×299, described as matching EfficientNetB0; the model’s native resolution is 224×224. Normalisation was described as per-image standardisation; the implementation used fixed ImageNet constants. The text stated a TPU execution environment while Table 2 stated GPU. Several values in Table 6 did not match the values produced by the code.</w:t>
      </w:r>
    </w:p>
    <w:p>
      <w:pPr>
        <w:spacing w:after="120" w:line="276"/>
      </w:pPr>
      <w:r>
        <w:rPr>
          <w:rFonts w:ascii="Calibri" w:cs="Calibri" w:eastAsia="Calibri" w:hAnsi="Calibri"/>
          <w:b/>
          <w:bCs/>
          <w:sz w:val="22"/>
          <w:szCs w:val="22"/>
        </w:rPr>
        <w:t xml:space="preserve">B8. Presentation errors. </w:t>
      </w:r>
      <w:r>
        <w:rPr>
          <w:rFonts w:ascii="Calibri" w:cs="Calibri" w:eastAsia="Calibri" w:hAnsi="Calibri"/>
          <w:sz w:val="22"/>
          <w:szCs w:val="22"/>
        </w:rPr>
        <w:t xml:space="preserve">The Results section was duplicated in full; the manuscript referred to “Table R5”, “Table R2” and “Figures in R1”, none of which existed; section numbering skipped from 1 to 3; and several phrases appeared in quotation marks without attribution. Throughout, the manuscript described the task as classification of “cancer stages”, whereas the model classifies tumour type. All are corrected.</w:t>
      </w:r>
    </w:p>
    <w:p>
      <w:pPr>
        <w:pBdr>
          <w:bottom w:val="single" w:color="BFBFBF" w:sz="6" w:space="1"/>
        </w:pBdr>
        <w:spacing w:after="200" w:before="160"/>
      </w:pPr>
      <w:r>
        <w:rPr>
          <w:rFonts w:ascii="Calibri" w:cs="Calibri" w:eastAsia="Calibri" w:hAnsi="Calibri"/>
          <w:sz w:val="2"/>
          <w:szCs w:val="2"/>
        </w:rPr>
        <w:t xml:space="preserve"/>
      </w:r>
    </w:p>
    <w:p>
      <w:pPr>
        <w:pStyle w:val="Heading1"/>
        <w:spacing w:after="160" w:before="360"/>
      </w:pPr>
      <w:r>
        <w:rPr>
          <w:rFonts w:ascii="Calibri" w:cs="Calibri" w:eastAsia="Calibri" w:hAnsi="Calibri"/>
          <w:b/>
          <w:bCs/>
          <w:color w:val="1F3864"/>
          <w:sz w:val="28"/>
          <w:szCs w:val="28"/>
        </w:rPr>
        <w:t xml:space="preserve">C. Point-by-point response</w:t>
      </w:r>
    </w:p>
    <w:p>
      <w:pPr>
        <w:pStyle w:val="Heading2"/>
        <w:spacing w:after="140" w:before="300"/>
      </w:pPr>
      <w:r>
        <w:rPr>
          <w:rFonts w:ascii="Calibri" w:cs="Calibri" w:eastAsia="Calibri" w:hAnsi="Calibri"/>
          <w:b/>
          <w:bCs/>
          <w:color w:val="2E5496"/>
          <w:sz w:val="24"/>
          <w:szCs w:val="24"/>
        </w:rPr>
        <w:t xml:space="preserve">Point 1 — Methodological novelty and clinical contribution</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Clarify the manuscript’s methodological novelty beyond combining EfficientNetB0 features with conventional classifiers and define the specific clinical contribution.</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We accept that the original framing offered no methodological novelty. Combining a pre-trained backbone with a conventional classifier is standard practice and we no longer present it as a contribution.</w:t>
      </w:r>
    </w:p>
    <w:p>
      <w:pPr>
        <w:spacing w:after="120" w:line="276"/>
      </w:pPr>
      <w:r>
        <w:rPr>
          <w:rFonts w:ascii="Calibri" w:cs="Calibri" w:eastAsia="Calibri" w:hAnsi="Calibri"/>
          <w:sz w:val="22"/>
          <w:szCs w:val="22"/>
        </w:rPr>
        <w:t xml:space="preserve">The revised study makes three contributions, all of which emerged from addressing Points 2, 3 and 5.</w:t>
      </w:r>
    </w:p>
    <w:p>
      <w:pPr>
        <w:spacing w:after="120" w:line="276"/>
      </w:pPr>
      <w:r>
        <w:rPr>
          <w:rFonts w:ascii="Calibri" w:cs="Calibri" w:eastAsia="Calibri" w:hAnsi="Calibri"/>
          <w:i/>
          <w:iCs/>
          <w:sz w:val="22"/>
          <w:szCs w:val="22"/>
        </w:rPr>
        <w:t xml:space="preserve">First, a provenance reconstruction of the benchmark. </w:t>
      </w:r>
      <w:r>
        <w:rPr>
          <w:rFonts w:ascii="Calibri" w:cs="Calibri" w:eastAsia="Calibri" w:hAnsi="Calibri"/>
          <w:sz w:val="22"/>
          <w:szCs w:val="22"/>
        </w:rPr>
        <w:t xml:space="preserve">We recovered patient identifiers and tumour masks from the original MATLAB archives of the Figshare collection and matched them back to the redistributed benchmark by perceptual hashing. This makes patient-level analysis of this benchmark possible for the first time, and it establishes that two of the three repositories customarily described as independent sources are not: 1,452 near-duplicate clusters span the Figshare and SARTAJ collections, and only 168 SARTAJ images survive deduplication against Figshare.</w:t>
      </w:r>
    </w:p>
    <w:p>
      <w:pPr>
        <w:spacing w:after="120" w:line="276"/>
      </w:pPr>
      <w:r>
        <w:rPr>
          <w:rFonts w:ascii="Calibri" w:cs="Calibri" w:eastAsia="Calibri" w:hAnsi="Calibri"/>
          <w:i/>
          <w:iCs/>
          <w:sz w:val="22"/>
          <w:szCs w:val="22"/>
        </w:rPr>
        <w:t xml:space="preserve">Second, three independent measurements of evaluation inflation. </w:t>
      </w:r>
      <w:r>
        <w:rPr>
          <w:rFonts w:ascii="Calibri" w:cs="Calibri" w:eastAsia="Calibri" w:hAnsi="Calibri"/>
          <w:sz w:val="22"/>
          <w:szCs w:val="22"/>
        </w:rPr>
        <w:t xml:space="preserve">These are set out under Points 3 and 5 and summarised in Table R1 below. They agree in direction and approximate magnitude despite using entirely different designs.</w:t>
      </w:r>
    </w:p>
    <w:p>
      <w:pPr>
        <w:spacing w:after="120" w:line="276"/>
      </w:pPr>
      <w:r>
        <w:rPr>
          <w:rFonts w:ascii="Calibri" w:cs="Calibri" w:eastAsia="Calibri" w:hAnsi="Calibri"/>
          <w:i/>
          <w:iCs/>
          <w:sz w:val="22"/>
          <w:szCs w:val="22"/>
        </w:rPr>
        <w:t xml:space="preserve">Third, evidence that one class in this benchmark is separable without reference to pathology. </w:t>
      </w:r>
      <w:r>
        <w:rPr>
          <w:rFonts w:ascii="Calibri" w:cs="Calibri" w:eastAsia="Calibri" w:hAnsi="Calibri"/>
          <w:sz w:val="22"/>
          <w:szCs w:val="22"/>
        </w:rPr>
        <w:t xml:space="preserve">A linear probe recovers the source repository from the image region outside an estimated head mask with 0.9997 balanced accuracy, and does so with 0.9843 balanced accuracy when the diagnostic class is held constant. Because the no-tumour class is drawn exclusively from one repository, its label is recoverable from acquisition signature alone. This bears directly on the ~99% figures routinely reported for that class, including in our own original submission.</w:t>
      </w:r>
    </w:p>
    <w:p>
      <w:pPr>
        <w:spacing w:after="120" w:line="276"/>
      </w:pPr>
      <w:r>
        <w:rPr>
          <w:rFonts w:ascii="Calibri" w:cs="Calibri" w:eastAsia="Calibri" w:hAnsi="Calibri"/>
          <w:b/>
          <w:bCs/>
          <w:sz w:val="22"/>
          <w:szCs w:val="22"/>
        </w:rPr>
        <w:t xml:space="preserve">Clinical contribution. </w:t>
      </w:r>
      <w:r>
        <w:rPr>
          <w:rFonts w:ascii="Calibri" w:cs="Calibri" w:eastAsia="Calibri" w:hAnsi="Calibri"/>
          <w:sz w:val="22"/>
          <w:szCs w:val="22"/>
        </w:rPr>
        <w:t xml:space="preserve">We no longer claim diagnostic readiness. The clinical contribution is now stated as selective prediction: the calibrated posteriors of the hybrid head support a triage operating point at which low-confidence examinations are referred to a radiologist. On the source-homogeneous cohort, referring the least-confident 20% of patients raises accuracy on the retained 80% from 0.910 to 0.974. We report this as triage, not as autonomous diagnosis, and we state explicitly that accuracy on retained cases is conditional on the model’s own confidence ordering and does not transfer to an unselected population.</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R1. Three independent estimates of evaluation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4500"/>
        <w:gridCol w:w="1800"/>
      </w:tblGrid>
      <w:tr>
        <w:trPr>
          <w:tblHeader/>
        </w:trPr>
        <w:tc>
          <w:tcPr>
            <w:tcW w:type="dxa" w:w="3060"/>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Design</w:t>
            </w:r>
          </w:p>
        </w:tc>
        <w:tc>
          <w:tcPr>
            <w:tcW w:type="dxa" w:w="4500"/>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Contrast</w:t>
            </w:r>
          </w:p>
        </w:tc>
        <w:tc>
          <w:tcPr>
            <w:tcW w:type="dxa" w:w="1800"/>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Estimate</w:t>
            </w:r>
          </w:p>
        </w:tc>
      </w:tr>
      <w:tr>
        <w:tc>
          <w:tcPr>
            <w:tcW w:type="dxa" w:w="3060"/>
            <w:tcMar>
              <w:top w:type="dxa" w:w="60"/>
              <w:left w:type="dxa" w:w="90"/>
              <w:bottom w:type="dxa" w:w="60"/>
              <w:right w:type="dxa" w:w="90"/>
            </w:tcMar>
          </w:tcPr>
          <w:p>
            <w:pPr>
              <w:spacing w:after="0" w:line="240"/>
            </w:pPr>
            <w:r>
              <w:rPr>
                <w:rFonts w:ascii="Calibri" w:cs="Calibri" w:eastAsia="Calibri" w:hAnsi="Calibri"/>
                <w:sz w:val="19"/>
                <w:szCs w:val="19"/>
              </w:rPr>
              <w:t xml:space="preserve">Internal, pre-specified</w:t>
            </w:r>
          </w:p>
        </w:tc>
        <w:tc>
          <w:tcPr>
            <w:tcW w:type="dxa" w:w="4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Image-level vs group-disjoint splitting, identical pipeline</w:t>
            </w:r>
          </w:p>
        </w:tc>
        <w:tc>
          <w:tcPr>
            <w:tcW w:type="dxa" w:w="1800"/>
            <w:tcMar>
              <w:top w:type="dxa" w:w="60"/>
              <w:left w:type="dxa" w:w="90"/>
              <w:bottom w:type="dxa" w:w="60"/>
              <w:right w:type="dxa" w:w="90"/>
            </w:tcMar>
          </w:tcPr>
          <w:p>
            <w:pPr>
              <w:spacing w:after="0" w:line="240"/>
              <w:jc w:val="center"/>
            </w:pPr>
            <w:r>
              <w:rPr>
                <w:rFonts w:ascii="Calibri" w:cs="Calibri" w:eastAsia="Calibri" w:hAnsi="Calibri"/>
                <w:sz w:val="19"/>
                <w:szCs w:val="19"/>
              </w:rPr>
              <w:t xml:space="preserve">+3.1 to +5.7 pp</w:t>
            </w:r>
          </w:p>
        </w:tc>
      </w:tr>
      <w:tr>
        <w:tc>
          <w:tcPr>
            <w:tcW w:type="dxa" w:w="3060"/>
            <w:tcMar>
              <w:top w:type="dxa" w:w="60"/>
              <w:left w:type="dxa" w:w="90"/>
              <w:bottom w:type="dxa" w:w="60"/>
              <w:right w:type="dxa" w:w="90"/>
            </w:tcMar>
          </w:tcPr>
          <w:p>
            <w:pPr>
              <w:spacing w:after="0" w:line="240"/>
            </w:pPr>
            <w:r>
              <w:rPr>
                <w:rFonts w:ascii="Calibri" w:cs="Calibri" w:eastAsia="Calibri" w:hAnsi="Calibri"/>
                <w:sz w:val="19"/>
                <w:szCs w:val="19"/>
              </w:rPr>
              <w:t xml:space="preserve">Third-party release, observational</w:t>
            </w:r>
          </w:p>
        </w:tc>
        <w:tc>
          <w:tcPr>
            <w:tcW w:type="dxa" w:w="4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Images overlapping development data vs not</w:t>
            </w:r>
          </w:p>
        </w:tc>
        <w:tc>
          <w:tcPr>
            <w:tcW w:type="dxa" w:w="1800"/>
            <w:tcMar>
              <w:top w:type="dxa" w:w="60"/>
              <w:left w:type="dxa" w:w="90"/>
              <w:bottom w:type="dxa" w:w="60"/>
              <w:right w:type="dxa" w:w="90"/>
            </w:tcMar>
          </w:tcPr>
          <w:p>
            <w:pPr>
              <w:spacing w:after="0" w:line="240"/>
              <w:jc w:val="center"/>
            </w:pPr>
            <w:r>
              <w:rPr>
                <w:rFonts w:ascii="Calibri" w:cs="Calibri" w:eastAsia="Calibri" w:hAnsi="Calibri"/>
                <w:sz w:val="19"/>
                <w:szCs w:val="19"/>
              </w:rPr>
              <w:t xml:space="preserve">+4.2 to +8.2 pp</w:t>
            </w:r>
          </w:p>
        </w:tc>
      </w:tr>
      <w:tr>
        <w:tc>
          <w:tcPr>
            <w:tcW w:type="dxa" w:w="3060"/>
            <w:tcMar>
              <w:top w:type="dxa" w:w="60"/>
              <w:left w:type="dxa" w:w="90"/>
              <w:bottom w:type="dxa" w:w="60"/>
              <w:right w:type="dxa" w:w="90"/>
            </w:tcMar>
          </w:tcPr>
          <w:p>
            <w:pPr>
              <w:spacing w:after="0" w:line="240"/>
            </w:pPr>
            <w:r>
              <w:rPr>
                <w:rFonts w:ascii="Calibri" w:cs="Calibri" w:eastAsia="Calibri" w:hAnsi="Calibri"/>
                <w:sz w:val="19"/>
                <w:szCs w:val="19"/>
              </w:rPr>
              <w:t xml:space="preserve">Third-party release, within-image paired</w:t>
            </w:r>
          </w:p>
        </w:tc>
        <w:tc>
          <w:tcPr>
            <w:tcW w:type="dxa" w:w="4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Same image, backbones fitted with vs without its counterpart</w:t>
            </w:r>
          </w:p>
        </w:tc>
        <w:tc>
          <w:tcPr>
            <w:tcW w:type="dxa" w:w="1800"/>
            <w:tcMar>
              <w:top w:type="dxa" w:w="60"/>
              <w:left w:type="dxa" w:w="90"/>
              <w:bottom w:type="dxa" w:w="60"/>
              <w:right w:type="dxa" w:w="90"/>
            </w:tcMar>
          </w:tcPr>
          <w:p>
            <w:pPr>
              <w:spacing w:after="0" w:line="240"/>
              <w:jc w:val="center"/>
            </w:pPr>
            <w:r>
              <w:rPr>
                <w:rFonts w:ascii="Calibri" w:cs="Calibri" w:eastAsia="Calibri" w:hAnsi="Calibri"/>
                <w:sz w:val="19"/>
                <w:szCs w:val="19"/>
              </w:rPr>
              <w:t xml:space="preserve">+5.6 to +6.8 pp</w:t>
            </w:r>
          </w:p>
        </w:tc>
      </w:tr>
    </w:tbl>
    <w:p>
      <w:pPr>
        <w:spacing w:after="120"/>
      </w:pPr>
      <w:r>
        <w:rPr>
          <w:sz w:val="16"/>
          <w:szCs w:val="16"/>
        </w:rPr>
        <w:t xml:space="preserve"/>
      </w:r>
    </w:p>
    <w:p>
      <w:pPr>
        <w:pStyle w:val="Heading2"/>
        <w:spacing w:after="140" w:before="300"/>
      </w:pPr>
      <w:r>
        <w:rPr>
          <w:rFonts w:ascii="Calibri" w:cs="Calibri" w:eastAsia="Calibri" w:hAnsi="Calibri"/>
          <w:b/>
          <w:bCs/>
          <w:color w:val="2E5496"/>
          <w:sz w:val="24"/>
          <w:szCs w:val="24"/>
        </w:rPr>
        <w:t xml:space="preserve">Point 2 — Dataset description</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Reconstruct the dataset description by reporting source-wise image counts, class distributions, patient provenance, MRI sequences, acquisition parameters, image orientation, contrast status, and inclusion/exclusion criteria.</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Section 3.1 has been rebuilt from the source repositories rather than from the redistributed benchmark, which is a mutable Kaggle record that has been revised since our original submission. The version we originally used contained 7,023 images; the current release contains 7,200. We state this explicitly in the Methods and explain that provenance was reconstructed from the source repositories for that reason.</w:t>
      </w:r>
    </w:p>
    <w:p>
      <w:pPr>
        <w:spacing w:after="120" w:line="276"/>
      </w:pPr>
      <w:r>
        <w:rPr>
          <w:rFonts w:ascii="Calibri" w:cs="Calibri" w:eastAsia="Calibri" w:hAnsi="Calibri"/>
          <w:sz w:val="22"/>
          <w:szCs w:val="22"/>
        </w:rPr>
        <w:t xml:space="preserve">Every image in all three repositories was indexed programmatically: file hash, perceptual hashes, dimensions and originating directory. For the Figshare collection we additionally read the original .mat archives, recovering the patient identifier, diagnostic label and tumour mask for all 3,064 slices.</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R2. Source composition (extract; full table in the manuscript).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217"/>
        <w:gridCol w:w="1076"/>
        <w:gridCol w:w="889"/>
        <w:gridCol w:w="1123"/>
        <w:gridCol w:w="1123"/>
        <w:gridCol w:w="1310"/>
        <w:gridCol w:w="515"/>
        <w:gridCol w:w="516"/>
      </w:tblGrid>
      <w:tr>
        <w:trPr>
          <w:tblHeader/>
        </w:trPr>
        <w:tc>
          <w:tcPr>
            <w:tcW w:type="dxa" w:w="1591"/>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Source</w:t>
            </w:r>
          </w:p>
        </w:tc>
        <w:tc>
          <w:tcPr>
            <w:tcW w:type="dxa" w:w="1217"/>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Distributed</w:t>
            </w:r>
          </w:p>
        </w:tc>
        <w:tc>
          <w:tcPr>
            <w:tcW w:type="dxa" w:w="1076"/>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Retained</w:t>
            </w:r>
          </w:p>
        </w:tc>
        <w:tc>
          <w:tcPr>
            <w:tcW w:type="dxa" w:w="889"/>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Patients</w:t>
            </w:r>
          </w:p>
        </w:tc>
        <w:tc>
          <w:tcPr>
            <w:tcW w:type="dxa" w:w="1123"/>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Sequence</w:t>
            </w:r>
          </w:p>
        </w:tc>
        <w:tc>
          <w:tcPr>
            <w:tcW w:type="dxa" w:w="1123"/>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Contrast</w:t>
            </w:r>
          </w:p>
        </w:tc>
        <w:tc>
          <w:tcPr>
            <w:tcW w:type="dxa" w:w="1310"/>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Native size</w:t>
            </w:r>
          </w:p>
        </w:tc>
        <w:tc>
          <w:tcPr>
            <w:tcW w:type="dxa" w:w="515"/>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PID</w:t>
            </w:r>
          </w:p>
        </w:tc>
        <w:tc>
          <w:tcPr>
            <w:tcW w:type="dxa" w:w="516"/>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Mask</w:t>
            </w:r>
          </w:p>
        </w:tc>
      </w:tr>
      <w:tr>
        <w:tc>
          <w:tcPr>
            <w:tcW w:type="dxa" w:w="1591"/>
            <w:tcMar>
              <w:top w:type="dxa" w:w="60"/>
              <w:left w:type="dxa" w:w="90"/>
              <w:bottom w:type="dxa" w:w="60"/>
              <w:right w:type="dxa" w:w="90"/>
            </w:tcMar>
          </w:tcPr>
          <w:p>
            <w:pPr>
              <w:spacing w:after="0" w:line="240"/>
            </w:pPr>
            <w:r>
              <w:rPr>
                <w:rFonts w:ascii="Calibri" w:cs="Calibri" w:eastAsia="Calibri" w:hAnsi="Calibri"/>
                <w:sz w:val="19"/>
                <w:szCs w:val="19"/>
              </w:rPr>
              <w:t xml:space="preserve">Figshare (Cheng)</w:t>
            </w:r>
          </w:p>
        </w:tc>
        <w:tc>
          <w:tcPr>
            <w:tcW w:type="dxa" w:w="1217"/>
            <w:tcMar>
              <w:top w:type="dxa" w:w="60"/>
              <w:left w:type="dxa" w:w="90"/>
              <w:bottom w:type="dxa" w:w="60"/>
              <w:right w:type="dxa" w:w="90"/>
            </w:tcMar>
          </w:tcPr>
          <w:p>
            <w:pPr>
              <w:spacing w:after="0" w:line="240"/>
              <w:jc w:val="center"/>
            </w:pPr>
            <w:r>
              <w:rPr>
                <w:rFonts w:ascii="Calibri" w:cs="Calibri" w:eastAsia="Calibri" w:hAnsi="Calibri"/>
                <w:sz w:val="19"/>
                <w:szCs w:val="19"/>
              </w:rPr>
              <w:t xml:space="preserve">3,064</w:t>
            </w:r>
          </w:p>
        </w:tc>
        <w:tc>
          <w:tcPr>
            <w:tcW w:type="dxa" w:w="1076"/>
            <w:tcMar>
              <w:top w:type="dxa" w:w="60"/>
              <w:left w:type="dxa" w:w="90"/>
              <w:bottom w:type="dxa" w:w="60"/>
              <w:right w:type="dxa" w:w="90"/>
            </w:tcMar>
          </w:tcPr>
          <w:p>
            <w:pPr>
              <w:spacing w:after="0" w:line="240"/>
              <w:jc w:val="center"/>
            </w:pPr>
            <w:r>
              <w:rPr>
                <w:rFonts w:ascii="Calibri" w:cs="Calibri" w:eastAsia="Calibri" w:hAnsi="Calibri"/>
                <w:sz w:val="19"/>
                <w:szCs w:val="19"/>
              </w:rPr>
              <w:t xml:space="preserve">3,038</w:t>
            </w:r>
          </w:p>
        </w:tc>
        <w:tc>
          <w:tcPr>
            <w:tcW w:type="dxa" w:w="889"/>
            <w:tcMar>
              <w:top w:type="dxa" w:w="60"/>
              <w:left w:type="dxa" w:w="90"/>
              <w:bottom w:type="dxa" w:w="60"/>
              <w:right w:type="dxa" w:w="90"/>
            </w:tcMar>
          </w:tcPr>
          <w:p>
            <w:pPr>
              <w:spacing w:after="0" w:line="240"/>
              <w:jc w:val="center"/>
            </w:pPr>
            <w:r>
              <w:rPr>
                <w:rFonts w:ascii="Calibri" w:cs="Calibri" w:eastAsia="Calibri" w:hAnsi="Calibri"/>
                <w:sz w:val="19"/>
                <w:szCs w:val="19"/>
              </w:rPr>
              <w:t xml:space="preserve">233</w:t>
            </w:r>
          </w:p>
        </w:tc>
        <w:tc>
          <w:tcPr>
            <w:tcW w:type="dxa" w:w="1123"/>
            <w:tcMar>
              <w:top w:type="dxa" w:w="60"/>
              <w:left w:type="dxa" w:w="90"/>
              <w:bottom w:type="dxa" w:w="60"/>
              <w:right w:type="dxa" w:w="90"/>
            </w:tcMar>
          </w:tcPr>
          <w:p>
            <w:pPr>
              <w:spacing w:after="0" w:line="240"/>
              <w:jc w:val="center"/>
            </w:pPr>
            <w:r>
              <w:rPr>
                <w:rFonts w:ascii="Calibri" w:cs="Calibri" w:eastAsia="Calibri" w:hAnsi="Calibri"/>
                <w:sz w:val="19"/>
                <w:szCs w:val="19"/>
              </w:rPr>
              <w:t xml:space="preserve">T1-weighted</w:t>
            </w:r>
          </w:p>
        </w:tc>
        <w:tc>
          <w:tcPr>
            <w:tcW w:type="dxa" w:w="1123"/>
            <w:tcMar>
              <w:top w:type="dxa" w:w="60"/>
              <w:left w:type="dxa" w:w="90"/>
              <w:bottom w:type="dxa" w:w="60"/>
              <w:right w:type="dxa" w:w="90"/>
            </w:tcMar>
          </w:tcPr>
          <w:p>
            <w:pPr>
              <w:spacing w:after="0" w:line="240"/>
              <w:jc w:val="center"/>
            </w:pPr>
            <w:r>
              <w:rPr>
                <w:rFonts w:ascii="Calibri" w:cs="Calibri" w:eastAsia="Calibri" w:hAnsi="Calibri"/>
                <w:sz w:val="19"/>
                <w:szCs w:val="19"/>
              </w:rPr>
              <w:t xml:space="preserve">Contrast-enh.</w:t>
            </w:r>
          </w:p>
        </w:tc>
        <w:tc>
          <w:tcPr>
            <w:tcW w:type="dxa" w:w="1310"/>
            <w:tcMar>
              <w:top w:type="dxa" w:w="60"/>
              <w:left w:type="dxa" w:w="90"/>
              <w:bottom w:type="dxa" w:w="60"/>
              <w:right w:type="dxa" w:w="90"/>
            </w:tcMar>
          </w:tcPr>
          <w:p>
            <w:pPr>
              <w:spacing w:after="0" w:line="240"/>
              <w:jc w:val="center"/>
            </w:pPr>
            <w:r>
              <w:rPr>
                <w:rFonts w:ascii="Calibri" w:cs="Calibri" w:eastAsia="Calibri" w:hAnsi="Calibri"/>
                <w:sz w:val="19"/>
                <w:szCs w:val="19"/>
              </w:rPr>
              <w:t xml:space="preserve">512×512</w:t>
            </w:r>
          </w:p>
        </w:tc>
        <w:tc>
          <w:tcPr>
            <w:tcW w:type="dxa" w:w="515"/>
            <w:tcMar>
              <w:top w:type="dxa" w:w="60"/>
              <w:left w:type="dxa" w:w="90"/>
              <w:bottom w:type="dxa" w:w="60"/>
              <w:right w:type="dxa" w:w="90"/>
            </w:tcMar>
          </w:tcPr>
          <w:p>
            <w:pPr>
              <w:spacing w:after="0" w:line="240"/>
              <w:jc w:val="center"/>
            </w:pPr>
            <w:r>
              <w:rPr>
                <w:rFonts w:ascii="Calibri" w:cs="Calibri" w:eastAsia="Calibri" w:hAnsi="Calibri"/>
                <w:sz w:val="19"/>
                <w:szCs w:val="19"/>
              </w:rPr>
              <w:t xml:space="preserve">Yes</w:t>
            </w:r>
          </w:p>
        </w:tc>
        <w:tc>
          <w:tcPr>
            <w:tcW w:type="dxa" w:w="516"/>
            <w:tcMar>
              <w:top w:type="dxa" w:w="60"/>
              <w:left w:type="dxa" w:w="90"/>
              <w:bottom w:type="dxa" w:w="60"/>
              <w:right w:type="dxa" w:w="90"/>
            </w:tcMar>
          </w:tcPr>
          <w:p>
            <w:pPr>
              <w:spacing w:after="0" w:line="240"/>
              <w:jc w:val="center"/>
            </w:pPr>
            <w:r>
              <w:rPr>
                <w:rFonts w:ascii="Calibri" w:cs="Calibri" w:eastAsia="Calibri" w:hAnsi="Calibri"/>
                <w:sz w:val="19"/>
                <w:szCs w:val="19"/>
              </w:rPr>
              <w:t xml:space="preserve">Yes</w:t>
            </w:r>
          </w:p>
        </w:tc>
      </w:tr>
      <w:tr>
        <w:tc>
          <w:tcPr>
            <w:tcW w:type="dxa" w:w="1591"/>
            <w:tcMar>
              <w:top w:type="dxa" w:w="60"/>
              <w:left w:type="dxa" w:w="90"/>
              <w:bottom w:type="dxa" w:w="60"/>
              <w:right w:type="dxa" w:w="90"/>
            </w:tcMar>
          </w:tcPr>
          <w:p>
            <w:pPr>
              <w:spacing w:after="0" w:line="240"/>
            </w:pPr>
            <w:r>
              <w:rPr>
                <w:rFonts w:ascii="Calibri" w:cs="Calibri" w:eastAsia="Calibri" w:hAnsi="Calibri"/>
                <w:sz w:val="19"/>
                <w:szCs w:val="19"/>
              </w:rPr>
              <w:t xml:space="preserve">SARTAJ</w:t>
            </w:r>
          </w:p>
        </w:tc>
        <w:tc>
          <w:tcPr>
            <w:tcW w:type="dxa" w:w="1217"/>
            <w:tcMar>
              <w:top w:type="dxa" w:w="60"/>
              <w:left w:type="dxa" w:w="90"/>
              <w:bottom w:type="dxa" w:w="60"/>
              <w:right w:type="dxa" w:w="90"/>
            </w:tcMar>
          </w:tcPr>
          <w:p>
            <w:pPr>
              <w:spacing w:after="0" w:line="240"/>
              <w:jc w:val="center"/>
            </w:pPr>
            <w:r>
              <w:rPr>
                <w:rFonts w:ascii="Calibri" w:cs="Calibri" w:eastAsia="Calibri" w:hAnsi="Calibri"/>
                <w:sz w:val="19"/>
                <w:szCs w:val="19"/>
              </w:rPr>
              <w:t xml:space="preserve">3,264</w:t>
            </w:r>
          </w:p>
        </w:tc>
        <w:tc>
          <w:tcPr>
            <w:tcW w:type="dxa" w:w="1076"/>
            <w:tcMar>
              <w:top w:type="dxa" w:w="60"/>
              <w:left w:type="dxa" w:w="90"/>
              <w:bottom w:type="dxa" w:w="60"/>
              <w:right w:type="dxa" w:w="90"/>
            </w:tcMar>
          </w:tcPr>
          <w:p>
            <w:pPr>
              <w:spacing w:after="0" w:line="240"/>
              <w:jc w:val="center"/>
            </w:pPr>
            <w:r>
              <w:rPr>
                <w:rFonts w:ascii="Calibri" w:cs="Calibri" w:eastAsia="Calibri" w:hAnsi="Calibri"/>
                <w:sz w:val="19"/>
                <w:szCs w:val="19"/>
              </w:rPr>
              <w:t xml:space="preserve">168</w:t>
            </w:r>
          </w:p>
        </w:tc>
        <w:tc>
          <w:tcPr>
            <w:tcW w:type="dxa" w:w="889"/>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123"/>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123"/>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310"/>
            <w:tcMar>
              <w:top w:type="dxa" w:w="60"/>
              <w:left w:type="dxa" w:w="90"/>
              <w:bottom w:type="dxa" w:w="60"/>
              <w:right w:type="dxa" w:w="90"/>
            </w:tcMar>
          </w:tcPr>
          <w:p>
            <w:pPr>
              <w:spacing w:after="0" w:line="240"/>
              <w:jc w:val="center"/>
            </w:pPr>
            <w:r>
              <w:rPr>
                <w:rFonts w:ascii="Calibri" w:cs="Calibri" w:eastAsia="Calibri" w:hAnsi="Calibri"/>
                <w:sz w:val="19"/>
                <w:szCs w:val="19"/>
              </w:rPr>
              <w:t xml:space="preserve">Variable (440)</w:t>
            </w:r>
          </w:p>
        </w:tc>
        <w:tc>
          <w:tcPr>
            <w:tcW w:type="dxa" w:w="515"/>
            <w:tcMar>
              <w:top w:type="dxa" w:w="60"/>
              <w:left w:type="dxa" w:w="90"/>
              <w:bottom w:type="dxa" w:w="60"/>
              <w:right w:type="dxa" w:w="90"/>
            </w:tcMar>
          </w:tcPr>
          <w:p>
            <w:pPr>
              <w:spacing w:after="0" w:line="240"/>
              <w:jc w:val="center"/>
            </w:pPr>
            <w:r>
              <w:rPr>
                <w:rFonts w:ascii="Calibri" w:cs="Calibri" w:eastAsia="Calibri" w:hAnsi="Calibri"/>
                <w:sz w:val="19"/>
                <w:szCs w:val="19"/>
              </w:rPr>
              <w:t xml:space="preserve">No</w:t>
            </w:r>
          </w:p>
        </w:tc>
        <w:tc>
          <w:tcPr>
            <w:tcW w:type="dxa" w:w="516"/>
            <w:tcMar>
              <w:top w:type="dxa" w:w="60"/>
              <w:left w:type="dxa" w:w="90"/>
              <w:bottom w:type="dxa" w:w="60"/>
              <w:right w:type="dxa" w:w="90"/>
            </w:tcMar>
          </w:tcPr>
          <w:p>
            <w:pPr>
              <w:spacing w:after="0" w:line="240"/>
              <w:jc w:val="center"/>
            </w:pPr>
            <w:r>
              <w:rPr>
                <w:rFonts w:ascii="Calibri" w:cs="Calibri" w:eastAsia="Calibri" w:hAnsi="Calibri"/>
                <w:sz w:val="19"/>
                <w:szCs w:val="19"/>
              </w:rPr>
              <w:t xml:space="preserve">No</w:t>
            </w:r>
          </w:p>
        </w:tc>
      </w:tr>
      <w:tr>
        <w:tc>
          <w:tcPr>
            <w:tcW w:type="dxa" w:w="1591"/>
            <w:tcMar>
              <w:top w:type="dxa" w:w="60"/>
              <w:left w:type="dxa" w:w="90"/>
              <w:bottom w:type="dxa" w:w="60"/>
              <w:right w:type="dxa" w:w="90"/>
            </w:tcMar>
          </w:tcPr>
          <w:p>
            <w:pPr>
              <w:spacing w:after="0" w:line="240"/>
            </w:pPr>
            <w:r>
              <w:rPr>
                <w:rFonts w:ascii="Calibri" w:cs="Calibri" w:eastAsia="Calibri" w:hAnsi="Calibri"/>
                <w:sz w:val="19"/>
                <w:szCs w:val="19"/>
              </w:rPr>
              <w:t xml:space="preserve">BR35H</w:t>
            </w:r>
          </w:p>
        </w:tc>
        <w:tc>
          <w:tcPr>
            <w:tcW w:type="dxa" w:w="1217"/>
            <w:tcMar>
              <w:top w:type="dxa" w:w="60"/>
              <w:left w:type="dxa" w:w="90"/>
              <w:bottom w:type="dxa" w:w="60"/>
              <w:right w:type="dxa" w:w="90"/>
            </w:tcMar>
          </w:tcPr>
          <w:p>
            <w:pPr>
              <w:spacing w:after="0" w:line="240"/>
              <w:jc w:val="center"/>
            </w:pPr>
            <w:r>
              <w:rPr>
                <w:rFonts w:ascii="Calibri" w:cs="Calibri" w:eastAsia="Calibri" w:hAnsi="Calibri"/>
                <w:sz w:val="19"/>
                <w:szCs w:val="19"/>
              </w:rPr>
              <w:t xml:space="preserve">3,000</w:t>
            </w:r>
          </w:p>
        </w:tc>
        <w:tc>
          <w:tcPr>
            <w:tcW w:type="dxa" w:w="1076"/>
            <w:tcMar>
              <w:top w:type="dxa" w:w="60"/>
              <w:left w:type="dxa" w:w="90"/>
              <w:bottom w:type="dxa" w:w="60"/>
              <w:right w:type="dxa" w:w="90"/>
            </w:tcMar>
          </w:tcPr>
          <w:p>
            <w:pPr>
              <w:spacing w:after="0" w:line="240"/>
              <w:jc w:val="center"/>
            </w:pPr>
            <w:r>
              <w:rPr>
                <w:rFonts w:ascii="Calibri" w:cs="Calibri" w:eastAsia="Calibri" w:hAnsi="Calibri"/>
                <w:sz w:val="19"/>
                <w:szCs w:val="19"/>
              </w:rPr>
              <w:t xml:space="preserve">607</w:t>
            </w:r>
          </w:p>
        </w:tc>
        <w:tc>
          <w:tcPr>
            <w:tcW w:type="dxa" w:w="889"/>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123"/>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123"/>
            <w:tcMar>
              <w:top w:type="dxa" w:w="60"/>
              <w:left w:type="dxa" w:w="90"/>
              <w:bottom w:type="dxa" w:w="60"/>
              <w:right w:type="dxa" w:w="90"/>
            </w:tcMar>
          </w:tcPr>
          <w:p>
            <w:pPr>
              <w:spacing w:after="0" w:line="240"/>
              <w:jc w:val="center"/>
            </w:pPr>
            <w:r>
              <w:rPr>
                <w:rFonts w:ascii="Calibri" w:cs="Calibri" w:eastAsia="Calibri" w:hAnsi="Calibri"/>
                <w:sz w:val="19"/>
                <w:szCs w:val="19"/>
              </w:rPr>
              <w:t xml:space="preserve">NR</w:t>
            </w:r>
          </w:p>
        </w:tc>
        <w:tc>
          <w:tcPr>
            <w:tcW w:type="dxa" w:w="1310"/>
            <w:tcMar>
              <w:top w:type="dxa" w:w="60"/>
              <w:left w:type="dxa" w:w="90"/>
              <w:bottom w:type="dxa" w:w="60"/>
              <w:right w:type="dxa" w:w="90"/>
            </w:tcMar>
          </w:tcPr>
          <w:p>
            <w:pPr>
              <w:spacing w:after="0" w:line="240"/>
              <w:jc w:val="center"/>
            </w:pPr>
            <w:r>
              <w:rPr>
                <w:rFonts w:ascii="Calibri" w:cs="Calibri" w:eastAsia="Calibri" w:hAnsi="Calibri"/>
                <w:sz w:val="19"/>
                <w:szCs w:val="19"/>
              </w:rPr>
              <w:t xml:space="preserve">Variable (291)</w:t>
            </w:r>
          </w:p>
        </w:tc>
        <w:tc>
          <w:tcPr>
            <w:tcW w:type="dxa" w:w="515"/>
            <w:tcMar>
              <w:top w:type="dxa" w:w="60"/>
              <w:left w:type="dxa" w:w="90"/>
              <w:bottom w:type="dxa" w:w="60"/>
              <w:right w:type="dxa" w:w="90"/>
            </w:tcMar>
          </w:tcPr>
          <w:p>
            <w:pPr>
              <w:spacing w:after="0" w:line="240"/>
              <w:jc w:val="center"/>
            </w:pPr>
            <w:r>
              <w:rPr>
                <w:rFonts w:ascii="Calibri" w:cs="Calibri" w:eastAsia="Calibri" w:hAnsi="Calibri"/>
                <w:sz w:val="19"/>
                <w:szCs w:val="19"/>
              </w:rPr>
              <w:t xml:space="preserve">No</w:t>
            </w:r>
          </w:p>
        </w:tc>
        <w:tc>
          <w:tcPr>
            <w:tcW w:type="dxa" w:w="516"/>
            <w:tcMar>
              <w:top w:type="dxa" w:w="60"/>
              <w:left w:type="dxa" w:w="90"/>
              <w:bottom w:type="dxa" w:w="60"/>
              <w:right w:type="dxa" w:w="90"/>
            </w:tcMar>
          </w:tcPr>
          <w:p>
            <w:pPr>
              <w:spacing w:after="0" w:line="240"/>
              <w:jc w:val="center"/>
            </w:pPr>
            <w:r>
              <w:rPr>
                <w:rFonts w:ascii="Calibri" w:cs="Calibri" w:eastAsia="Calibri" w:hAnsi="Calibri"/>
                <w:sz w:val="19"/>
                <w:szCs w:val="19"/>
              </w:rPr>
              <w:t xml:space="preserve">No</w:t>
            </w:r>
          </w:p>
        </w:tc>
      </w:tr>
    </w:tbl>
    <w:p>
      <w:pPr>
        <w:spacing w:after="120"/>
      </w:pPr>
      <w:r>
        <w:rPr>
          <w:sz w:val="16"/>
          <w:szCs w:val="16"/>
        </w:rPr>
        <w:t xml:space="preserve"/>
      </w:r>
    </w:p>
    <w:p>
      <w:pPr>
        <w:spacing w:after="120" w:line="276"/>
      </w:pPr>
      <w:r>
        <w:rPr>
          <w:rFonts w:ascii="Calibri" w:cs="Calibri" w:eastAsia="Calibri" w:hAnsi="Calibri"/>
          <w:sz w:val="22"/>
          <w:szCs w:val="22"/>
        </w:rPr>
        <w:t xml:space="preserve">NR = not reported by the originating repository. We have not inferred acquisition parameters from image appearance, and where a field is unavailable we say so rather than supplying a plausible value.</w:t>
      </w:r>
    </w:p>
    <w:p>
      <w:pPr>
        <w:spacing w:after="120" w:line="276"/>
      </w:pPr>
      <w:r>
        <w:rPr>
          <w:rFonts w:ascii="Calibri" w:cs="Calibri" w:eastAsia="Calibri" w:hAnsi="Calibri"/>
          <w:sz w:val="22"/>
          <w:szCs w:val="22"/>
        </w:rPr>
        <w:t xml:space="preserve">Two specific corrections to the original description follow from this table. The original manuscript stated that all images were natively 512×512; this holds only for the Figshare subset. It also described three independent repositories; the deduplication analysis under Point 3 shows that SARTAJ is largely a redistribution of the Figshare collection.</w:t>
      </w:r>
    </w:p>
    <w:p>
      <w:pPr>
        <w:spacing w:after="120"/>
      </w:pPr>
      <w:r>
        <w:rPr>
          <w:sz w:val="16"/>
          <w:szCs w:val="16"/>
        </w:rPr>
        <w:t xml:space="preserve"/>
      </w:r>
    </w:p>
    <w:p>
      <w:pPr>
        <w:spacing w:after="120" w:line="276"/>
      </w:pPr>
      <w:r>
        <w:rPr>
          <w:rFonts w:ascii="Calibri" w:cs="Calibri" w:eastAsia="Calibri" w:hAnsi="Calibri"/>
          <w:b/>
          <w:bCs/>
          <w:sz w:val="20"/>
          <w:szCs w:val="20"/>
        </w:rPr>
        <w:t xml:space="preserve">Inclusion and exclusion criteria, each with the evidence that motivated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6"/>
        <w:gridCol w:w="918"/>
        <w:gridCol w:w="5506"/>
      </w:tblGrid>
      <w:tr>
        <w:trPr>
          <w:tblHeader/>
        </w:trPr>
        <w:tc>
          <w:tcPr>
            <w:tcW w:type="dxa" w:w="2936"/>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Excluded</w:t>
            </w:r>
          </w:p>
        </w:tc>
        <w:tc>
          <w:tcPr>
            <w:tcW w:type="dxa" w:w="918"/>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n</w:t>
            </w:r>
          </w:p>
        </w:tc>
        <w:tc>
          <w:tcPr>
            <w:tcW w:type="dxa" w:w="5506"/>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Reason</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SARTAJ glioma</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926</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Documented labelling inconsistency; gliomas drawn from Figshare instead</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SARTAJ no-tumour</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500</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500 files reduce to 352 unique hashes (29.6% internally duplicated); 120 are byte-identical to BR35H images</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BR35H yes</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1,500</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Tumours of unspecified histology; cannot be assigned to a diagnostic class</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BR35H Br35H-Mask-RCNN</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801</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Byte-identical repackaging of the yes folder for an object-detection task</w:t>
            </w:r>
          </w:p>
        </w:tc>
      </w:tr>
      <w:tr>
        <w:tc>
          <w:tcPr>
            <w:tcW w:type="dxa" w:w="2936"/>
            <w:tcMar>
              <w:top w:type="dxa" w:w="60"/>
              <w:left w:type="dxa" w:w="90"/>
              <w:bottom w:type="dxa" w:w="60"/>
              <w:right w:type="dxa" w:w="90"/>
            </w:tcMar>
          </w:tcPr>
          <w:p>
            <w:pPr>
              <w:spacing w:after="0" w:line="240"/>
            </w:pPr>
            <w:r>
              <w:rPr>
                <w:rFonts w:ascii="Calibri" w:cs="Calibri" w:eastAsia="Calibri" w:hAnsi="Calibri"/>
                <w:sz w:val="19"/>
                <w:szCs w:val="19"/>
              </w:rPr>
              <w:t xml:space="preserve">BR35H pred</w:t>
            </w:r>
          </w:p>
        </w:tc>
        <w:tc>
          <w:tcPr>
            <w:tcW w:type="dxa" w:w="918"/>
            <w:tcMar>
              <w:top w:type="dxa" w:w="60"/>
              <w:left w:type="dxa" w:w="90"/>
              <w:bottom w:type="dxa" w:w="60"/>
              <w:right w:type="dxa" w:w="90"/>
            </w:tcMar>
          </w:tcPr>
          <w:p>
            <w:pPr>
              <w:spacing w:after="0" w:line="240"/>
              <w:jc w:val="center"/>
            </w:pPr>
            <w:r>
              <w:rPr>
                <w:rFonts w:ascii="Calibri" w:cs="Calibri" w:eastAsia="Calibri" w:hAnsi="Calibri"/>
                <w:sz w:val="19"/>
                <w:szCs w:val="19"/>
              </w:rPr>
              <w:t xml:space="preserve">60</w:t>
            </w:r>
          </w:p>
        </w:tc>
        <w:tc>
          <w:tcPr>
            <w:tcW w:type="dxa" w:w="5506"/>
            <w:tcMar>
              <w:top w:type="dxa" w:w="60"/>
              <w:left w:type="dxa" w:w="90"/>
              <w:bottom w:type="dxa" w:w="60"/>
              <w:right w:type="dxa" w:w="90"/>
            </w:tcMar>
          </w:tcPr>
          <w:p>
            <w:pPr>
              <w:spacing w:after="0" w:line="240"/>
              <w:jc w:val="center"/>
            </w:pPr>
            <w:r>
              <w:rPr>
                <w:rFonts w:ascii="Calibri" w:cs="Calibri" w:eastAsia="Calibri" w:hAnsi="Calibri"/>
                <w:sz w:val="19"/>
                <w:szCs w:val="19"/>
              </w:rPr>
              <w:t xml:space="preserve">No ground-truth labels</w:t>
            </w:r>
          </w:p>
        </w:tc>
      </w:tr>
    </w:tbl>
    <w:p>
      <w:pPr>
        <w:spacing w:after="120"/>
      </w:pPr>
      <w:r>
        <w:rPr>
          <w:sz w:val="16"/>
          <w:szCs w:val="16"/>
        </w:rPr>
        <w:t xml:space="preserve"/>
      </w:r>
    </w:p>
    <w:p>
      <w:pPr>
        <w:spacing w:after="120" w:line="276"/>
      </w:pPr>
      <w:r>
        <w:rPr>
          <w:rFonts w:ascii="Calibri" w:cs="Calibri" w:eastAsia="Calibri" w:hAnsi="Calibri"/>
          <w:b/>
          <w:bCs/>
          <w:sz w:val="22"/>
          <w:szCs w:val="22"/>
        </w:rPr>
        <w:t xml:space="preserve">Sequence heterogeneity. </w:t>
      </w:r>
      <w:r>
        <w:rPr>
          <w:rFonts w:ascii="Calibri" w:cs="Calibri" w:eastAsia="Calibri" w:hAnsi="Calibri"/>
          <w:sz w:val="22"/>
          <w:szCs w:val="22"/>
        </w:rPr>
        <w:t xml:space="preserve">The Figshare subset is uniformly T1-weighted contrast-enhanced. Visual inspection of the BR35H no-tumour images indicates a mixture of T2-weighted and FLAIR acquisitions. Because the repository reports no sequence metadata, we characterise this from a labelled random sample and report it as an observation, with the sampling procedure described in the Methods. The consequence — that the no-tumour class differs systematically in acquisition from the three tumour classes — is central to the analysis under Point 9 and is discussed under Point 10.</w:t>
      </w:r>
    </w:p>
    <w:p>
      <w:pPr>
        <w:pStyle w:val="Heading2"/>
        <w:spacing w:after="140" w:before="300"/>
      </w:pPr>
      <w:r>
        <w:rPr>
          <w:rFonts w:ascii="Calibri" w:cs="Calibri" w:eastAsia="Calibri" w:hAnsi="Calibri"/>
          <w:b/>
          <w:bCs/>
          <w:color w:val="2E5496"/>
          <w:sz w:val="24"/>
          <w:szCs w:val="24"/>
        </w:rPr>
        <w:t xml:space="preserve">Point 3 — Patient-level, source-aware splitting and duplicate removal</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Demonstrate patient-level, source-aware splitting and remove duplicate or near-duplicate images across the three repositories and between training, validation, and test sets.</w:t>
      </w:r>
    </w:p>
    <w:p>
      <w:pPr>
        <w:pStyle w:val="Heading3"/>
        <w:spacing w:after="100" w:before="220"/>
      </w:pPr>
      <w:r>
        <w:rPr>
          <w:rFonts w:ascii="Calibri" w:cs="Calibri" w:eastAsia="Calibri" w:hAnsi="Calibri"/>
          <w:b/>
          <w:bCs/>
          <w:sz w:val="22"/>
          <w:szCs w:val="22"/>
        </w:rPr>
        <w:t xml:space="preserve">Duplicate removal</w:t>
      </w:r>
    </w:p>
    <w:p>
      <w:pPr>
        <w:spacing w:after="120" w:line="276"/>
      </w:pPr>
      <w:r>
        <w:rPr>
          <w:rFonts w:ascii="Calibri" w:cs="Calibri" w:eastAsia="Calibri" w:hAnsi="Calibri"/>
          <w:sz w:val="22"/>
          <w:szCs w:val="22"/>
        </w:rPr>
        <w:t xml:space="preserve">Near-duplicates are identified by agreement between two perceptual hash families (pHash and dHash, 64 bits each), requiring both to fall within a threshold. Exact hashing is insufficient because redistribution re-encodes images: no byte-identical duplicate exists between the Figshare renders and their SARTAJ counterparts, yet 1,452 near-duplicate clusters span the two.</w:t>
      </w:r>
    </w:p>
    <w:p>
      <w:pPr>
        <w:spacing w:after="120" w:line="276"/>
      </w:pPr>
      <w:r>
        <w:rPr>
          <w:rFonts w:ascii="Calibri" w:cs="Calibri" w:eastAsia="Calibri" w:hAnsi="Calibri"/>
          <w:sz w:val="22"/>
          <w:szCs w:val="22"/>
        </w:rPr>
        <w:t xml:space="preserve">The threshold was calibrated against an internal negative control. The glioma class is drawn exclusively from Figshare and consists of distinct consecutive slices, so a correctly set threshold should remove almost none of it. At the chosen threshold of 2 bits, 8 of 1,426 glioma images (0.6%) are removed, while the mixed-source classes lose 48–60%. That contrast is the evidence that the removals reflect genuine redundancy rather than perceptual-hash collision, and it is reported in the manuscript.</w:t>
      </w:r>
    </w:p>
    <w:p>
      <w:pPr>
        <w:spacing w:after="120" w:line="276"/>
      </w:pPr>
      <w:r>
        <w:rPr>
          <w:rFonts w:ascii="Calibri" w:cs="Calibri" w:eastAsia="Calibri" w:hAnsi="Calibri"/>
          <w:sz w:val="22"/>
          <w:szCs w:val="22"/>
        </w:rPr>
        <w:t xml:space="preserve">Of 6,402 curated images, 2,589 (40.4%) are near-duplicates of another image and are collapsed to a single representative, leaving 3,813. Where a cluster spans repositories, the Figshare member is retained because it alone carries the patient identifier and tumour mask, and because it is a lossless render of the original 16-bit slice rather than a recompressed derivative.</w:t>
      </w:r>
    </w:p>
    <w:p>
      <w:pPr>
        <w:pStyle w:val="Heading3"/>
        <w:spacing w:after="100" w:before="220"/>
      </w:pPr>
      <w:r>
        <w:rPr>
          <w:rFonts w:ascii="Calibri" w:cs="Calibri" w:eastAsia="Calibri" w:hAnsi="Calibri"/>
          <w:b/>
          <w:bCs/>
          <w:sz w:val="22"/>
          <w:szCs w:val="22"/>
        </w:rPr>
        <w:t xml:space="preserve">Patient-level grouping</w:t>
      </w:r>
    </w:p>
    <w:p>
      <w:pPr>
        <w:spacing w:after="120" w:line="276"/>
      </w:pPr>
      <w:r>
        <w:rPr>
          <w:rFonts w:ascii="Calibri" w:cs="Calibri" w:eastAsia="Calibri" w:hAnsi="Calibri"/>
          <w:sz w:val="22"/>
          <w:szCs w:val="22"/>
        </w:rPr>
        <w:t xml:space="preserve">Patient identifiers recovered from the Figshare archives give true patient grouping for 233 patients. Identifiers are propagated across duplicate clusters, so a SARTAJ image that is a re-encoding of a Figshare slice inherits that patient. This raises the proportion of images with a metadata-backed identifier from 47.9% to 71.2%.</w:t>
      </w:r>
    </w:p>
    <w:p>
      <w:pPr>
        <w:spacing w:after="120" w:line="276"/>
      </w:pPr>
      <w:r>
        <w:rPr>
          <w:rFonts w:ascii="Calibri" w:cs="Calibri" w:eastAsia="Calibri" w:hAnsi="Calibri"/>
          <w:sz w:val="22"/>
          <w:szCs w:val="22"/>
        </w:rPr>
        <w:t xml:space="preserve">For images with no identifier in any release — the BR35H no-tumour class, and the SARTAJ images that are not Figshare derivatives — near-duplicate clusters serve as pseudo-patient groups. Where metadata states that two images belong to different patients, that statement overrides hash similarity: 185 similarity edges were blocked on this basis. We describe these as leakage-control groups, not patients, throughout the manuscript, and we do not claim that pseudo-grouping is equivalent to patient-level grouping.</w:t>
      </w:r>
    </w:p>
    <w:p>
      <w:pPr>
        <w:spacing w:after="120" w:line="276"/>
      </w:pPr>
      <w:r>
        <w:rPr>
          <w:rFonts w:ascii="Calibri" w:cs="Calibri" w:eastAsia="Calibri" w:hAnsi="Calibri"/>
          <w:sz w:val="22"/>
          <w:szCs w:val="22"/>
        </w:rPr>
        <w:t xml:space="preserve">The grouping threshold was chosen from a sensitivity sweep over 4–12 bits, reported in the supplement. We note that the invariance of the glioma group count across that sweep is a consequence of the patient-identifier constraint and is not independent evidence for the threshold; the calibration evidence is the deduplication control described above.</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R3. Correlated samples per independent unit (3,813 images resolve to 721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rPr>
          <w:tblHeader/>
        </w:trPr>
        <w:tc>
          <w:tcPr>
            <w:tcW w:type="dxa" w:w="2808"/>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Class</w:t>
            </w:r>
          </w:p>
        </w:tc>
        <w:tc>
          <w:tcPr>
            <w:tcW w:type="dxa" w:w="1872"/>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Images</w:t>
            </w:r>
          </w:p>
        </w:tc>
        <w:tc>
          <w:tcPr>
            <w:tcW w:type="dxa" w:w="1872"/>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Groups</w:t>
            </w:r>
          </w:p>
        </w:tc>
        <w:tc>
          <w:tcPr>
            <w:tcW w:type="dxa" w:w="2808"/>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Images per group</w:t>
            </w:r>
          </w:p>
        </w:tc>
      </w:tr>
      <w:tr>
        <w:tc>
          <w:tcPr>
            <w:tcW w:type="dxa" w:w="2808"/>
            <w:tcMar>
              <w:top w:type="dxa" w:w="60"/>
              <w:left w:type="dxa" w:w="90"/>
              <w:bottom w:type="dxa" w:w="60"/>
              <w:right w:type="dxa" w:w="90"/>
            </w:tcMar>
          </w:tcPr>
          <w:p>
            <w:pPr>
              <w:spacing w:after="0" w:line="240"/>
            </w:pPr>
            <w:r>
              <w:rPr>
                <w:rFonts w:ascii="Calibri" w:cs="Calibri" w:eastAsia="Calibri" w:hAnsi="Calibri"/>
                <w:sz w:val="19"/>
                <w:szCs w:val="19"/>
              </w:rPr>
              <w:t xml:space="preserve">Glioma</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1,418</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89</w:t>
            </w:r>
          </w:p>
        </w:tc>
        <w:tc>
          <w:tcPr>
            <w:tcW w:type="dxa" w:w="2808"/>
            <w:tcMar>
              <w:top w:type="dxa" w:w="60"/>
              <w:left w:type="dxa" w:w="90"/>
              <w:bottom w:type="dxa" w:w="60"/>
              <w:right w:type="dxa" w:w="90"/>
            </w:tcMar>
          </w:tcPr>
          <w:p>
            <w:pPr>
              <w:spacing w:after="0" w:line="240"/>
              <w:jc w:val="center"/>
            </w:pPr>
            <w:r>
              <w:rPr>
                <w:rFonts w:ascii="Calibri" w:cs="Calibri" w:eastAsia="Calibri" w:hAnsi="Calibri"/>
                <w:sz w:val="19"/>
                <w:szCs w:val="19"/>
              </w:rPr>
              <w:t xml:space="preserve">15.8</w:t>
            </w:r>
          </w:p>
        </w:tc>
      </w:tr>
      <w:tr>
        <w:tc>
          <w:tcPr>
            <w:tcW w:type="dxa" w:w="2808"/>
            <w:tcMar>
              <w:top w:type="dxa" w:w="60"/>
              <w:left w:type="dxa" w:w="90"/>
              <w:bottom w:type="dxa" w:w="60"/>
              <w:right w:type="dxa" w:w="90"/>
            </w:tcMar>
          </w:tcPr>
          <w:p>
            <w:pPr>
              <w:spacing w:after="0" w:line="240"/>
            </w:pPr>
            <w:r>
              <w:rPr>
                <w:rFonts w:ascii="Calibri" w:cs="Calibri" w:eastAsia="Calibri" w:hAnsi="Calibri"/>
                <w:sz w:val="19"/>
                <w:szCs w:val="19"/>
              </w:rPr>
              <w:t xml:space="preserve">Pituitary</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953</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89</w:t>
            </w:r>
          </w:p>
        </w:tc>
        <w:tc>
          <w:tcPr>
            <w:tcW w:type="dxa" w:w="2808"/>
            <w:tcMar>
              <w:top w:type="dxa" w:w="60"/>
              <w:left w:type="dxa" w:w="90"/>
              <w:bottom w:type="dxa" w:w="60"/>
              <w:right w:type="dxa" w:w="90"/>
            </w:tcMar>
          </w:tcPr>
          <w:p>
            <w:pPr>
              <w:spacing w:after="0" w:line="240"/>
              <w:jc w:val="center"/>
            </w:pPr>
            <w:r>
              <w:rPr>
                <w:rFonts w:ascii="Calibri" w:cs="Calibri" w:eastAsia="Calibri" w:hAnsi="Calibri"/>
                <w:sz w:val="19"/>
                <w:szCs w:val="19"/>
              </w:rPr>
              <w:t xml:space="preserve">10.7</w:t>
            </w:r>
          </w:p>
        </w:tc>
      </w:tr>
      <w:tr>
        <w:tc>
          <w:tcPr>
            <w:tcW w:type="dxa" w:w="2808"/>
            <w:tcMar>
              <w:top w:type="dxa" w:w="60"/>
              <w:left w:type="dxa" w:w="90"/>
              <w:bottom w:type="dxa" w:w="60"/>
              <w:right w:type="dxa" w:w="90"/>
            </w:tcMar>
          </w:tcPr>
          <w:p>
            <w:pPr>
              <w:spacing w:after="0" w:line="240"/>
            </w:pPr>
            <w:r>
              <w:rPr>
                <w:rFonts w:ascii="Calibri" w:cs="Calibri" w:eastAsia="Calibri" w:hAnsi="Calibri"/>
                <w:sz w:val="19"/>
                <w:szCs w:val="19"/>
              </w:rPr>
              <w:t xml:space="preserve">Meningioma</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835</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204</w:t>
            </w:r>
          </w:p>
        </w:tc>
        <w:tc>
          <w:tcPr>
            <w:tcW w:type="dxa" w:w="2808"/>
            <w:tcMar>
              <w:top w:type="dxa" w:w="60"/>
              <w:left w:type="dxa" w:w="90"/>
              <w:bottom w:type="dxa" w:w="60"/>
              <w:right w:type="dxa" w:w="90"/>
            </w:tcMar>
          </w:tcPr>
          <w:p>
            <w:pPr>
              <w:spacing w:after="0" w:line="240"/>
              <w:jc w:val="center"/>
            </w:pPr>
            <w:r>
              <w:rPr>
                <w:rFonts w:ascii="Calibri" w:cs="Calibri" w:eastAsia="Calibri" w:hAnsi="Calibri"/>
                <w:sz w:val="19"/>
                <w:szCs w:val="19"/>
              </w:rPr>
              <w:t xml:space="preserve">4.1</w:t>
            </w:r>
          </w:p>
        </w:tc>
      </w:tr>
      <w:tr>
        <w:tc>
          <w:tcPr>
            <w:tcW w:type="dxa" w:w="2808"/>
            <w:tcMar>
              <w:top w:type="dxa" w:w="60"/>
              <w:left w:type="dxa" w:w="90"/>
              <w:bottom w:type="dxa" w:w="60"/>
              <w:right w:type="dxa" w:w="90"/>
            </w:tcMar>
          </w:tcPr>
          <w:p>
            <w:pPr>
              <w:spacing w:after="0" w:line="240"/>
            </w:pPr>
            <w:r>
              <w:rPr>
                <w:rFonts w:ascii="Calibri" w:cs="Calibri" w:eastAsia="Calibri" w:hAnsi="Calibri"/>
                <w:sz w:val="19"/>
                <w:szCs w:val="19"/>
              </w:rPr>
              <w:t xml:space="preserve">No tumour</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607</w:t>
            </w:r>
          </w:p>
        </w:tc>
        <w:tc>
          <w:tcPr>
            <w:tcW w:type="dxa" w:w="1872"/>
            <w:tcMar>
              <w:top w:type="dxa" w:w="60"/>
              <w:left w:type="dxa" w:w="90"/>
              <w:bottom w:type="dxa" w:w="60"/>
              <w:right w:type="dxa" w:w="90"/>
            </w:tcMar>
          </w:tcPr>
          <w:p>
            <w:pPr>
              <w:spacing w:after="0" w:line="240"/>
              <w:jc w:val="center"/>
            </w:pPr>
            <w:r>
              <w:rPr>
                <w:rFonts w:ascii="Calibri" w:cs="Calibri" w:eastAsia="Calibri" w:hAnsi="Calibri"/>
                <w:sz w:val="19"/>
                <w:szCs w:val="19"/>
              </w:rPr>
              <w:t xml:space="preserve">339</w:t>
            </w:r>
          </w:p>
        </w:tc>
        <w:tc>
          <w:tcPr>
            <w:tcW w:type="dxa" w:w="2808"/>
            <w:tcMar>
              <w:top w:type="dxa" w:w="60"/>
              <w:left w:type="dxa" w:w="90"/>
              <w:bottom w:type="dxa" w:w="60"/>
              <w:right w:type="dxa" w:w="90"/>
            </w:tcMar>
          </w:tcPr>
          <w:p>
            <w:pPr>
              <w:spacing w:after="0" w:line="240"/>
              <w:jc w:val="center"/>
            </w:pPr>
            <w:r>
              <w:rPr>
                <w:rFonts w:ascii="Calibri" w:cs="Calibri" w:eastAsia="Calibri" w:hAnsi="Calibri"/>
                <w:sz w:val="19"/>
                <w:szCs w:val="19"/>
              </w:rPr>
              <w:t xml:space="preserve">1.8</w:t>
            </w:r>
          </w:p>
        </w:tc>
      </w:tr>
    </w:tbl>
    <w:p>
      <w:pPr>
        <w:spacing w:after="120"/>
      </w:pPr>
      <w:r>
        <w:rPr>
          <w:sz w:val="16"/>
          <w:szCs w:val="16"/>
        </w:rPr>
        <w:t xml:space="preserve"/>
      </w:r>
    </w:p>
    <w:p>
      <w:pPr>
        <w:spacing w:after="120" w:line="276"/>
      </w:pPr>
      <w:r>
        <w:rPr>
          <w:rFonts w:ascii="Calibri" w:cs="Calibri" w:eastAsia="Calibri" w:hAnsi="Calibri"/>
          <w:sz w:val="22"/>
          <w:szCs w:val="22"/>
        </w:rPr>
        <w:t xml:space="preserve">This table quantifies what image-level splitting conceals. Under a random split at the level of individual images, a glioma test image has on average approximately 16 near-siblings in the training set.</w:t>
      </w:r>
    </w:p>
    <w:p>
      <w:pPr>
        <w:pStyle w:val="Heading3"/>
        <w:spacing w:after="100" w:before="220"/>
      </w:pPr>
      <w:r>
        <w:rPr>
          <w:rFonts w:ascii="Calibri" w:cs="Calibri" w:eastAsia="Calibri" w:hAnsi="Calibri"/>
          <w:b/>
          <w:bCs/>
          <w:sz w:val="22"/>
          <w:szCs w:val="22"/>
        </w:rPr>
        <w:t xml:space="preserve">Leakage in the published redistribution</w:t>
      </w:r>
    </w:p>
    <w:p>
      <w:pPr>
        <w:spacing w:after="120" w:line="276"/>
      </w:pPr>
      <w:r>
        <w:rPr>
          <w:rFonts w:ascii="Calibri" w:cs="Calibri" w:eastAsia="Calibri" w:hAnsi="Calibri"/>
          <w:sz w:val="22"/>
          <w:szCs w:val="22"/>
        </w:rPr>
        <w:t xml:space="preserve">Using the recovered identifiers we examined the train/test partition distributed with the benchmark. Of 212 patients recoverable from the redistribution, 123 (58%) contribute images to both the published training and testing folders, involving 1,306 images. We note that this is a lower bound: only Figshare-derived images carry identifiers, so leakage among SARTAJ- and BR35H-derived images is not measurable rather than absent.</w:t>
      </w:r>
    </w:p>
    <w:p>
      <w:pPr>
        <w:spacing w:after="120" w:line="276"/>
      </w:pPr>
      <w:r>
        <w:rPr>
          <w:rFonts w:ascii="Calibri" w:cs="Calibri" w:eastAsia="Calibri" w:hAnsi="Calibri"/>
          <w:sz w:val="22"/>
          <w:szCs w:val="22"/>
        </w:rPr>
        <w:t xml:space="preserve">We phrase this carefully in the manuscript. The current release of the redistribution reports subsequent removal of duplicate images and of train–test overlap. Our independent reconstruction of the release we used identifies cross-partition patient overlap among the recoverable Figshare cases; we do not assert that this was the reason for the update.</w:t>
      </w:r>
    </w:p>
    <w:p>
      <w:pPr>
        <w:pStyle w:val="Heading3"/>
        <w:spacing w:after="100" w:before="220"/>
      </w:pPr>
      <w:r>
        <w:rPr>
          <w:rFonts w:ascii="Calibri" w:cs="Calibri" w:eastAsia="Calibri" w:hAnsi="Calibri"/>
          <w:b/>
          <w:bCs/>
          <w:sz w:val="22"/>
          <w:szCs w:val="22"/>
        </w:rPr>
        <w:t xml:space="preserve">Verification</w:t>
      </w:r>
    </w:p>
    <w:p>
      <w:pPr>
        <w:spacing w:after="120" w:line="276"/>
      </w:pPr>
      <w:r>
        <w:rPr>
          <w:rFonts w:ascii="Calibri" w:cs="Calibri" w:eastAsia="Calibri" w:hAnsi="Calibri"/>
          <w:sz w:val="22"/>
          <w:szCs w:val="22"/>
        </w:rPr>
        <w:t xml:space="preserve">Split generation aborts if any group or any patient spans two outer folds, and if any inner validation fold intersects its outer test fold. The verification report for every split is included in the supplement. Re-running split generation after a full rewrite of the code reproduced every fold assignment identically.</w:t>
      </w:r>
    </w:p>
    <w:p>
      <w:pPr>
        <w:pStyle w:val="Heading2"/>
        <w:spacing w:after="140" w:before="300"/>
      </w:pPr>
      <w:r>
        <w:rPr>
          <w:rFonts w:ascii="Calibri" w:cs="Calibri" w:eastAsia="Calibri" w:hAnsi="Calibri"/>
          <w:b/>
          <w:bCs/>
          <w:color w:val="2E5496"/>
          <w:sz w:val="24"/>
          <w:szCs w:val="24"/>
        </w:rPr>
        <w:t xml:space="preserve">Point 4 — Augmentation after the split, with class-wise counts</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Apply augmentation only after the original patient-level split and provide exact class-wise counts before and after augmentation for every partition.</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This is corrected. As reported under B4, the original implementation applied augmentation to the test directory and wrote the augmented images to disk.</w:t>
      </w:r>
    </w:p>
    <w:p>
      <w:pPr>
        <w:spacing w:after="120" w:line="276"/>
      </w:pPr>
      <w:r>
        <w:rPr>
          <w:rFonts w:ascii="Calibri" w:cs="Calibri" w:eastAsia="Calibri" w:hAnsi="Calibri"/>
          <w:sz w:val="22"/>
          <w:szCs w:val="22"/>
        </w:rPr>
        <w:t xml:space="preserve">In the revision, augmentation is applied on the fly, during training only, to the training portion of each outer fold, after the group-disjoint split. No augmented image is written to disk, so the counts before and after augmentation are identical by construction and no synthetic image can enter a validation or test partition. Exact class-wise counts for every partition of every fold are given in the supplement, with stored augmented files = 0 stated explicitly.</w:t>
      </w:r>
    </w:p>
    <w:p>
      <w:pPr>
        <w:spacing w:after="120" w:line="276"/>
      </w:pPr>
      <w:r>
        <w:rPr>
          <w:rFonts w:ascii="Calibri" w:cs="Calibri" w:eastAsia="Calibri" w:hAnsi="Calibri"/>
          <w:sz w:val="22"/>
          <w:szCs w:val="22"/>
        </w:rPr>
        <w:t xml:space="preserve">The augmentation itself is now fully specified: random affine transformation (±15°, 5% translation, 0.9–1.1 scale), horizontal flip with probability 0.5, and brightness and contrast jitter of 0.15. Evaluation applies resizing and normalisation only, with no stochastic component.</w:t>
      </w:r>
    </w:p>
    <w:p>
      <w:pPr>
        <w:spacing w:after="120" w:line="276"/>
      </w:pPr>
      <w:r>
        <w:rPr>
          <w:rFonts w:ascii="Calibri" w:cs="Calibri" w:eastAsia="Calibri" w:hAnsi="Calibri"/>
          <w:sz w:val="22"/>
          <w:szCs w:val="22"/>
        </w:rPr>
        <w:t xml:space="preserve">We note that horizontal flipping is not strictly anatomy-preserving for brain MRI. We retain it for continuity with prior work on this benchmark and state the choice explicitly rather than leaving it implicit.</w:t>
      </w:r>
    </w:p>
    <w:p>
      <w:pPr>
        <w:spacing w:after="120" w:line="276"/>
      </w:pPr>
      <w:r>
        <w:rPr>
          <w:rFonts w:ascii="Calibri" w:cs="Calibri" w:eastAsia="Calibri" w:hAnsi="Calibri"/>
          <w:sz w:val="22"/>
          <w:szCs w:val="22"/>
        </w:rPr>
        <w:t xml:space="preserve">Class weighting rather than oversampling is used for imbalance correction, because duplicating images within a group would further amplify the few patients contributing many slices.</w:t>
      </w:r>
    </w:p>
    <w:p>
      <w:pPr>
        <w:pStyle w:val="Heading2"/>
        <w:spacing w:after="140" w:before="300"/>
      </w:pPr>
      <w:r>
        <w:rPr>
          <w:rFonts w:ascii="Calibri" w:cs="Calibri" w:eastAsia="Calibri" w:hAnsi="Calibri"/>
          <w:b/>
          <w:bCs/>
          <w:color w:val="2E5496"/>
          <w:sz w:val="24"/>
          <w:szCs w:val="24"/>
        </w:rPr>
        <w:t xml:space="preserve">Point 5 — Nested, patient-grouped validation and an independent source-based test set</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Replace the current potentially optimistic evaluation with nested, patient-grouped validation and a genuinely independent source-based test set.</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We address the two requirements separately, because we satisfied the first and could not satisfy the second.</w:t>
      </w:r>
    </w:p>
    <w:p>
      <w:pPr>
        <w:pStyle w:val="Heading3"/>
        <w:spacing w:after="100" w:before="220"/>
      </w:pPr>
      <w:r>
        <w:rPr>
          <w:rFonts w:ascii="Calibri" w:cs="Calibri" w:eastAsia="Calibri" w:hAnsi="Calibri"/>
          <w:b/>
          <w:bCs/>
          <w:sz w:val="22"/>
          <w:szCs w:val="22"/>
        </w:rPr>
        <w:t xml:space="preserve">Nested, patient-grouped validation</w:t>
      </w:r>
    </w:p>
    <w:p>
      <w:pPr>
        <w:spacing w:after="120" w:line="276"/>
      </w:pPr>
      <w:r>
        <w:rPr>
          <w:rFonts w:ascii="Calibri" w:cs="Calibri" w:eastAsia="Calibri" w:hAnsi="Calibri"/>
          <w:sz w:val="22"/>
          <w:szCs w:val="22"/>
        </w:rPr>
        <w:t xml:space="preserve">Evaluation uses 5-fold group-disjoint outer cross-validation with a 3-fold group-disjoint inner loop. Hyperparameters of the classical heads are selected within the inner loop; the CNN backbone is retrained from ImageNet initialisation inside each outer fold, on that fold’s training portion alone, with early stopping on an inner validation fold. The outer test fold is used only to produce the reported predictions.</w:t>
      </w:r>
    </w:p>
    <w:p>
      <w:pPr>
        <w:spacing w:after="120" w:line="276"/>
      </w:pPr>
      <w:r>
        <w:rPr>
          <w:rFonts w:ascii="Calibri" w:cs="Calibri" w:eastAsia="Calibri" w:hAnsi="Calibri"/>
          <w:sz w:val="22"/>
          <w:szCs w:val="22"/>
        </w:rPr>
        <w:t xml:space="preserve">CNN hyperparameters (optimiser, learning rate, weight decay, schedule, batch size, augmentation) were fixed in advance and were not selected using any test fold. We state one residual limitation explicitly: the classical heads are tuned by cross-validation inside the outer training portion, part of which the backbone saw during fine-tuning. The outer test fold is untouched in either case, so the reported estimate is unbiased with respect to it, but the hyperparameter choice is mildly optimistic.</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R4. Effect of the corrected evaluation (95% group-bootstrap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2621"/>
        <w:gridCol w:w="2621"/>
      </w:tblGrid>
      <w:tr>
        <w:trPr>
          <w:tblHeader/>
        </w:trPr>
        <w:tc>
          <w:tcPr>
            <w:tcW w:type="dxa" w:w="4118"/>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Evaluation</w:t>
            </w:r>
          </w:p>
        </w:tc>
        <w:tc>
          <w:tcPr>
            <w:tcW w:type="dxa" w:w="2621"/>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CNN</w:t>
            </w:r>
          </w:p>
        </w:tc>
        <w:tc>
          <w:tcPr>
            <w:tcW w:type="dxa" w:w="2621"/>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CNN+SVM</w:t>
            </w:r>
          </w:p>
        </w:tc>
      </w:tr>
      <w:tr>
        <w:tc>
          <w:tcPr>
            <w:tcW w:type="dxa" w:w="4118"/>
            <w:tcMar>
              <w:top w:type="dxa" w:w="60"/>
              <w:left w:type="dxa" w:w="90"/>
              <w:bottom w:type="dxa" w:w="60"/>
              <w:right w:type="dxa" w:w="90"/>
            </w:tcMar>
          </w:tcPr>
          <w:p>
            <w:pPr>
              <w:spacing w:after="0" w:line="240"/>
            </w:pPr>
            <w:r>
              <w:rPr>
                <w:rFonts w:ascii="Calibri" w:cs="Calibri" w:eastAsia="Calibri" w:hAnsi="Calibri"/>
                <w:sz w:val="19"/>
                <w:szCs w:val="19"/>
              </w:rPr>
              <w:t xml:space="preserve">Image-level split, 4 classes</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0.9691 [0.9610, 0.9768]</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0.9756 [0.9681, 0.9825]</w:t>
            </w:r>
          </w:p>
        </w:tc>
      </w:tr>
      <w:tr>
        <w:tc>
          <w:tcPr>
            <w:tcW w:type="dxa" w:w="4118"/>
            <w:tcMar>
              <w:top w:type="dxa" w:w="60"/>
              <w:left w:type="dxa" w:w="90"/>
              <w:bottom w:type="dxa" w:w="60"/>
              <w:right w:type="dxa" w:w="90"/>
            </w:tcMar>
          </w:tcPr>
          <w:p>
            <w:pPr>
              <w:spacing w:after="0" w:line="240"/>
            </w:pPr>
            <w:r>
              <w:rPr>
                <w:rFonts w:ascii="Calibri" w:cs="Calibri" w:eastAsia="Calibri" w:hAnsi="Calibri"/>
                <w:sz w:val="19"/>
                <w:szCs w:val="19"/>
              </w:rPr>
              <w:t xml:space="preserve">Group-disjoint split, 4 classes</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0.9287 [0.9063, 0.9481]</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0.9405 [0.9215, 0.9580]</w:t>
            </w:r>
          </w:p>
        </w:tc>
      </w:tr>
      <w:tr>
        <w:tc>
          <w:tcPr>
            <w:tcW w:type="dxa" w:w="4118"/>
            <w:tcMar>
              <w:top w:type="dxa" w:w="60"/>
              <w:left w:type="dxa" w:w="90"/>
              <w:bottom w:type="dxa" w:w="60"/>
              <w:right w:type="dxa" w:w="90"/>
            </w:tcMar>
          </w:tcPr>
          <w:p>
            <w:pPr>
              <w:spacing w:after="0" w:line="240"/>
            </w:pPr>
            <w:r>
              <w:rPr>
                <w:rFonts w:ascii="Calibri" w:cs="Calibri" w:eastAsia="Calibri" w:hAnsi="Calibri"/>
                <w:sz w:val="19"/>
                <w:szCs w:val="19"/>
              </w:rPr>
              <w:t xml:space="preserve">Group-disjoint, source-homogeneous, 3 classes</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0.9042 [0.8748, 0.9312]</w:t>
            </w:r>
          </w:p>
        </w:tc>
        <w:tc>
          <w:tcPr>
            <w:tcW w:type="dxa" w:w="2621"/>
            <w:tcMar>
              <w:top w:type="dxa" w:w="60"/>
              <w:left w:type="dxa" w:w="90"/>
              <w:bottom w:type="dxa" w:w="60"/>
              <w:right w:type="dxa" w:w="90"/>
            </w:tcMar>
          </w:tcPr>
          <w:p>
            <w:pPr>
              <w:spacing w:after="0" w:line="240"/>
              <w:jc w:val="center"/>
            </w:pPr>
            <w:r>
              <w:rPr>
                <w:rFonts w:ascii="Calibri" w:cs="Calibri" w:eastAsia="Calibri" w:hAnsi="Calibri"/>
                <w:sz w:val="19"/>
                <w:szCs w:val="19"/>
              </w:rPr>
              <w:t xml:space="preserve">0.9230 [0.8973, 0.9454]</w:t>
            </w:r>
          </w:p>
        </w:tc>
      </w:tr>
    </w:tbl>
    <w:p>
      <w:pPr>
        <w:spacing w:after="120"/>
      </w:pPr>
      <w:r>
        <w:rPr>
          <w:sz w:val="16"/>
          <w:szCs w:val="16"/>
        </w:rPr>
        <w:t xml:space="preserve"/>
      </w:r>
    </w:p>
    <w:p>
      <w:pPr>
        <w:spacing w:after="120" w:line="276"/>
      </w:pPr>
      <w:r>
        <w:rPr>
          <w:rFonts w:ascii="Calibri" w:cs="Calibri" w:eastAsia="Calibri" w:hAnsi="Calibri"/>
          <w:sz w:val="22"/>
          <w:szCs w:val="22"/>
        </w:rPr>
        <w:t xml:space="preserve">Identical pipeline, weights, code and seed; only the partitioning differs between the first two rows. Inflation attributable to image-level splitting ranges from +3.1 to +5.7 percentage points across six model configurations, and is largest for the nearest-neighbour classifier — which under image-level splitting selects k=1 in every fold and becomes the best-performing model, and under group-disjoint splitting selects k=5 or k=11 and becomes the worst.</w:t>
      </w:r>
    </w:p>
    <w:p>
      <w:pPr>
        <w:spacing w:after="120" w:line="276"/>
      </w:pPr>
      <w:r>
        <w:rPr>
          <w:rFonts w:ascii="Calibri" w:cs="Calibri" w:eastAsia="Calibri" w:hAnsi="Calibri"/>
          <w:sz w:val="22"/>
          <w:szCs w:val="22"/>
        </w:rPr>
        <w:t xml:space="preserve">Between-fold standard deviation also rises from 0.008 to 0.026 when leakage is removed, so image-level splitting inflates the estimate and simultaneously understates its uncertainty.</w:t>
      </w:r>
    </w:p>
    <w:p>
      <w:pPr>
        <w:pStyle w:val="Heading3"/>
        <w:spacing w:after="100" w:before="220"/>
      </w:pPr>
      <w:r>
        <w:rPr>
          <w:rFonts w:ascii="Calibri" w:cs="Calibri" w:eastAsia="Calibri" w:hAnsi="Calibri"/>
          <w:b/>
          <w:bCs/>
          <w:sz w:val="22"/>
          <w:szCs w:val="22"/>
        </w:rPr>
        <w:t xml:space="preserve">Independent source-based test set</w:t>
      </w:r>
    </w:p>
    <w:p>
      <w:pPr>
        <w:spacing w:after="120" w:line="276"/>
      </w:pPr>
      <w:r>
        <w:rPr>
          <w:rFonts w:ascii="Calibri" w:cs="Calibri" w:eastAsia="Calibri" w:hAnsi="Calibri"/>
          <w:sz w:val="22"/>
          <w:szCs w:val="22"/>
        </w:rPr>
        <w:t xml:space="preserve">We were unable to construct one, and we believe the evidence shows that none is currently available.</w:t>
      </w:r>
    </w:p>
    <w:p>
      <w:pPr>
        <w:spacing w:after="120" w:line="276"/>
      </w:pPr>
      <w:r>
        <w:rPr>
          <w:rFonts w:ascii="Calibri" w:cs="Calibri" w:eastAsia="Calibri" w:hAnsi="Calibri"/>
          <w:sz w:val="22"/>
          <w:szCs w:val="22"/>
        </w:rPr>
        <w:t xml:space="preserve">Within the benchmark, SARTAJ and BR35H are constituents rather than external sources, and only 168 SARTAJ images in two classes survive deduplication against Figshare.</w:t>
      </w:r>
    </w:p>
    <w:p>
      <w:pPr>
        <w:spacing w:after="120" w:line="276"/>
      </w:pPr>
      <w:r>
        <w:rPr>
          <w:rFonts w:ascii="Calibri" w:cs="Calibri" w:eastAsia="Calibri" w:hAnsi="Calibri"/>
          <w:sz w:val="22"/>
          <w:szCs w:val="22"/>
        </w:rPr>
        <w:t xml:space="preserve">We therefore screened two public four-class datasets before any model was applied to them, using the pre-specified dual-hash criterion calibrated as described under Point 3, with structural similarity as an independent confirmation. The protocol was committed to the repository before the screening was run.</w:t>
      </w:r>
    </w:p>
    <w:p>
      <w:pPr>
        <w:spacing w:after="120" w:line="276"/>
      </w:pPr>
      <w:r>
        <w:rPr>
          <w:rFonts w:ascii="Calibri" w:cs="Calibri" w:eastAsia="Calibri" w:hAnsi="Calibri"/>
          <w:b/>
          <w:bCs/>
          <w:sz w:val="22"/>
          <w:szCs w:val="22"/>
        </w:rPr>
        <w:t xml:space="preserve">PMRAM </w:t>
      </w:r>
      <w:r>
        <w:rPr>
          <w:rFonts w:ascii="Calibri" w:cs="Calibri" w:eastAsia="Calibri" w:hAnsi="Calibri"/>
          <w:sz w:val="22"/>
          <w:szCs w:val="22"/>
        </w:rPr>
        <w:t xml:space="preserve">(Mendeley m7w55sw88b), distributed as primary hospital data from Bangladesh: of 1,505 files, 849 (56.4%) match our source repositories at ≤2 bits, 743 of them at distance zero across both hashes. Overlap is strongly class-dependent, from 0.6% for meningioma to 100% for pituitary (373 of 373). Removing matched images leaves the pituitary class empty, so a four-class evaluation cannot be constructed at any level of filtering. The release also contains 184 byte-identical duplicate files internally, and its distributed composition (363–396 per class) does not match its published composition (400 per class).</w:t>
      </w:r>
    </w:p>
    <w:p>
      <w:pPr>
        <w:spacing w:after="120" w:line="276"/>
      </w:pPr>
      <w:r>
        <w:rPr>
          <w:rFonts w:ascii="Calibri" w:cs="Calibri" w:eastAsia="Calibri" w:hAnsi="Calibri"/>
          <w:b/>
          <w:bCs/>
          <w:sz w:val="22"/>
          <w:szCs w:val="22"/>
        </w:rPr>
        <w:t xml:space="preserve">BDNeuro-MRI v7 </w:t>
      </w:r>
      <w:r>
        <w:rPr>
          <w:rFonts w:ascii="Calibri" w:cs="Calibri" w:eastAsia="Calibri" w:hAnsi="Calibri"/>
          <w:sz w:val="22"/>
          <w:szCs w:val="22"/>
        </w:rPr>
        <w:t xml:space="preserve">(Mendeley zwr4ntf94j), distributed as clinical data from named hospitals in Bangladesh: of 5,941 study images, 2,242 (37.7%) match the source repositories and 4,027 (67.7%) match the composite redistribution; 1,831 and 3,315 of these respectively are byte-identical files. Matched pairs agree on diagnostic label in 100.0% of cases against a chance rate of 20%. Of 400 matched pairs verified by structural similarity, 90% reach SSIM ≥ 0.95 with a median of 1.000. The published test partition is contaminated at the same rate as the release as a whole (37.1%), so restriction to it does not help.</w:t>
      </w:r>
    </w:p>
    <w:p>
      <w:pPr>
        <w:spacing w:after="120" w:line="276"/>
      </w:pPr>
      <w:r>
        <w:rPr>
          <w:rFonts w:ascii="Calibri" w:cs="Calibri" w:eastAsia="Calibri" w:hAnsi="Calibri"/>
          <w:sz w:val="22"/>
          <w:szCs w:val="22"/>
        </w:rPr>
        <w:t xml:space="preserve">We make no claim about how this overlap arose; we report only that the images are the same.</w:t>
      </w:r>
    </w:p>
    <w:p>
      <w:pPr>
        <w:spacing w:after="120" w:line="276"/>
      </w:pPr>
      <w:r>
        <w:rPr>
          <w:rFonts w:ascii="Calibri" w:cs="Calibri" w:eastAsia="Calibri" w:hAnsi="Calibri"/>
          <w:sz w:val="22"/>
          <w:szCs w:val="22"/>
        </w:rPr>
        <w:t xml:space="preserve">One finding here is of general relevance. BDNeuro-MRI states that duplicates were removed between its partitions, and we confirm it: one near-duplicate group out of 5,939 spans two partitions, and no test image has a near-duplicate sibling in training or validation. The same release nevertheless shares 1,831 byte-identical files with the source repositories of this benchmark. Internal partition hygiene and independence from other public repositories are distinct properties established by different audits, and only the first appears to be routine.</w:t>
      </w:r>
    </w:p>
    <w:p>
      <w:pPr>
        <w:spacing w:after="120" w:line="276"/>
      </w:pPr>
      <w:r>
        <w:rPr>
          <w:rFonts w:ascii="Calibri" w:cs="Calibri" w:eastAsia="Calibri" w:hAnsi="Calibri"/>
          <w:b/>
          <w:bCs/>
          <w:sz w:val="22"/>
          <w:szCs w:val="22"/>
        </w:rPr>
        <w:t xml:space="preserve">Conclusion on Point 5. </w:t>
      </w:r>
      <w:r>
        <w:rPr>
          <w:rFonts w:ascii="Calibri" w:cs="Calibri" w:eastAsia="Calibri" w:hAnsi="Calibri"/>
          <w:sz w:val="22"/>
          <w:szCs w:val="22"/>
        </w:rPr>
        <w:t xml:space="preserve">We could not identify a public four-class brain tumour MRI dataset verifiably independent of this benchmark, and we report the screening in place of an external evaluation. Presenting the unmatched remainder of either dataset as external validation would reproduce the error this study documents: perceptual hashing detects the reuse it can see, not all reuse, so the provenance of the remainder is unestablished rather than established. Genuine external validation of this benchmark requires institutional data that has not been redistributed. We state this as the principal limitation of the work and of the literature built on this benchmark, and we release the audit tooling so that the check can be made routinely.</w:t>
      </w:r>
    </w:p>
    <w:p>
      <w:pPr>
        <w:pStyle w:val="Heading2"/>
        <w:spacing w:after="140" w:before="300"/>
      </w:pPr>
      <w:r>
        <w:rPr>
          <w:rFonts w:ascii="Calibri" w:cs="Calibri" w:eastAsia="Calibri" w:hAnsi="Calibri"/>
          <w:b/>
          <w:bCs/>
          <w:color w:val="2E5496"/>
          <w:sz w:val="24"/>
          <w:szCs w:val="24"/>
        </w:rPr>
        <w:t xml:space="preserve">Point 6 — Complete implementation details</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Provide complete implementation details for EfficientNetB0 feature extraction, frozen and fine-tuned layers, feature dimensions, preprocessing, augmentation, classifiers, hyperparameters, random seeds, software versions, and hardware.</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A dedicated Implementation subsection now specifies all of these. The corrections listed under B6 and B7 are incorporated: the input resolution is 224×224 and is resolved from the model’s own published data configuration rather than hard-coded; normalisation uses the documented ImageNet statistics; the extracted feature vector is the 1,280-dimensional global-average-pooled output.</w:t>
      </w:r>
    </w:p>
    <w:p>
      <w:pPr>
        <w:spacing w:after="120" w:line="276"/>
      </w:pPr>
      <w:r>
        <w:rPr>
          <w:rFonts w:ascii="Calibri" w:cs="Calibri" w:eastAsia="Calibri" w:hAnsi="Calibri"/>
          <w:sz w:val="22"/>
          <w:szCs w:val="22"/>
        </w:rPr>
        <w:t xml:space="preserve">Reported in full: backbone and pretrained weight source; which layers are frozen at each stage (all layers are fine-tuned); optimiser, learning rate, weight decay, schedule, batch size, epoch limit and early-stopping criterion; loss function and class weighting; the complete hyperparameter grid searched for every classical head and the values selected in each fold; random seeds for Python, NumPy and PyTorch, with deterministic backend settings; the full dependency lock file; hardware and driver versions; and wall-clock timings.</w:t>
      </w:r>
    </w:p>
    <w:p>
      <w:pPr>
        <w:spacing w:after="120" w:line="276"/>
      </w:pPr>
      <w:r>
        <w:rPr>
          <w:rFonts w:ascii="Calibri" w:cs="Calibri" w:eastAsia="Calibri" w:hAnsi="Calibri"/>
          <w:sz w:val="22"/>
          <w:szCs w:val="22"/>
        </w:rPr>
        <w:t xml:space="preserve">Two implementation points deserve specific mention because they affect published results.</w:t>
      </w:r>
    </w:p>
    <w:p>
      <w:pPr>
        <w:spacing w:after="120" w:line="276"/>
      </w:pPr>
      <w:r>
        <w:rPr>
          <w:rFonts w:ascii="Calibri" w:cs="Calibri" w:eastAsia="Calibri" w:hAnsi="Calibri"/>
          <w:sz w:val="22"/>
          <w:szCs w:val="22"/>
        </w:rPr>
        <w:t xml:space="preserve">The multilayer perceptron previously used scikit-learn’s internal early stopping, which constructs a validation split at random and does not respect the patient grouping. This is contained within the training fold and does not reach the test fold, but the stopping point was being chosen against partially memorised data. It is disabled.</w:t>
      </w:r>
    </w:p>
    <w:p>
      <w:pPr>
        <w:spacing w:after="120" w:line="276"/>
      </w:pPr>
      <w:r>
        <w:rPr>
          <w:rFonts w:ascii="Calibri" w:cs="Calibri" w:eastAsia="Calibri" w:hAnsi="Calibri"/>
          <w:sz w:val="22"/>
          <w:szCs w:val="22"/>
        </w:rPr>
        <w:t xml:space="preserve">The support vector machine previously used the library’s internal probability estimation, which fits Platt scaling through a non-group-aware five-fold cross-validation. Since the selective-prediction analysis depends on those probabilities, calibration is now performed explicitly over the same group-disjoint inner folds used for tuning. This improved the group-level expected calibration error of the SVM head to 0.019, against 0.049 for the CNN softmax.</w:t>
      </w:r>
    </w:p>
    <w:p>
      <w:pPr>
        <w:spacing w:after="120" w:line="276"/>
      </w:pPr>
      <w:r>
        <w:rPr>
          <w:rFonts w:ascii="Calibri" w:cs="Calibri" w:eastAsia="Calibri" w:hAnsi="Calibri"/>
          <w:sz w:val="22"/>
          <w:szCs w:val="22"/>
        </w:rPr>
        <w:t xml:space="preserve">The pipeline is reproducible: re-running split generation after a complete rewrite of the code reproduced every fold assignment, group count and class distribution identically.</w:t>
      </w:r>
    </w:p>
    <w:p>
      <w:pPr>
        <w:pStyle w:val="Heading2"/>
        <w:spacing w:after="140" w:before="300"/>
      </w:pPr>
      <w:r>
        <w:rPr>
          <w:rFonts w:ascii="Calibri" w:cs="Calibri" w:eastAsia="Calibri" w:hAnsi="Calibri"/>
          <w:b/>
          <w:bCs/>
          <w:color w:val="2E5496"/>
          <w:sz w:val="24"/>
          <w:szCs w:val="24"/>
        </w:rPr>
        <w:t xml:space="preserve">Point 7 — Complete class-wise and macro-averaged metrics</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Report complete class-wise and macro-averaged performance metrics, including confusion matrices with real counts, sensitivity, specificity, precision, recall, F1-score, balanced accuracy, ROC-AUC, confidence intervals, and support values.</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All requested metrics are reported for every model in every configuration.</w:t>
      </w:r>
    </w:p>
    <w:p>
      <w:pPr>
        <w:spacing w:after="120" w:line="276"/>
      </w:pPr>
      <w:r>
        <w:rPr>
          <w:rFonts w:ascii="Calibri" w:cs="Calibri" w:eastAsia="Calibri" w:hAnsi="Calibri"/>
          <w:sz w:val="22"/>
          <w:szCs w:val="22"/>
        </w:rPr>
        <w:t xml:space="preserve">Aggregate: accuracy, balanced accuracy, macro and weighted F1, macro precision, macro recall, macro specificity, macro one-vs-rest ROC-AUC, multiclass Brier score and expected calibration error. Per class: precision, sensitivity, specificity, F1, one-vs-rest ROC-AUC, support, and raw TP/FP/FN/TN counts. Confusion matrices with real counts are given for the primary models in the manuscript and for all models in the supplement. Per-fold results are tabulated so that between-fold spread is visible rather than concealed inside a pooled mean.</w:t>
      </w:r>
    </w:p>
    <w:p>
      <w:pPr>
        <w:spacing w:after="120" w:line="276"/>
      </w:pPr>
      <w:r>
        <w:rPr>
          <w:rFonts w:ascii="Calibri" w:cs="Calibri" w:eastAsia="Calibri" w:hAnsi="Calibri"/>
          <w:sz w:val="22"/>
          <w:szCs w:val="22"/>
        </w:rPr>
        <w:t xml:space="preserve">The Jaccard index is retained per class, labelled as such, so that the values in the original submission can be reconciled with the corrected ones.</w:t>
      </w:r>
    </w:p>
    <w:p>
      <w:pPr>
        <w:spacing w:after="120" w:line="276"/>
      </w:pPr>
      <w:r>
        <w:rPr>
          <w:rFonts w:ascii="Calibri" w:cs="Calibri" w:eastAsia="Calibri" w:hAnsi="Calibri"/>
          <w:b/>
          <w:bCs/>
          <w:sz w:val="22"/>
          <w:szCs w:val="22"/>
        </w:rPr>
        <w:t xml:space="preserve">Confidence intervals are resampled over groups, not images. </w:t>
      </w:r>
      <w:r>
        <w:rPr>
          <w:rFonts w:ascii="Calibri" w:cs="Calibri" w:eastAsia="Calibri" w:hAnsi="Calibri"/>
          <w:sz w:val="22"/>
          <w:szCs w:val="22"/>
        </w:rPr>
        <w:t xml:space="preserve">With approximately 16 correlated images per glioma patient, resampling images treats 16 views of one brain as 16 independent observations. The intervals in the original manuscript used a normal approximation over correlated slices and were consequently far too narrow. All intervals are now 95% percentile bootstrap intervals over leakage-control groups, with 2,000 resamples, covering every reported metric including per-class values.</w:t>
      </w:r>
    </w:p>
    <w:p>
      <w:pPr>
        <w:spacing w:after="120" w:line="276"/>
      </w:pPr>
      <w:r>
        <w:rPr>
          <w:rFonts w:ascii="Calibri" w:cs="Calibri" w:eastAsia="Calibri" w:hAnsi="Calibri"/>
          <w:sz w:val="22"/>
          <w:szCs w:val="22"/>
        </w:rPr>
        <w:t xml:space="preserve">We note that one-vs-rest specificity in a four-class problem is bounded near unity by construction. It is reported because it was requested, but it does not discriminate between models and we place no argument on it. This is why every model in the original manuscript reported 99% specificity.</w:t>
      </w:r>
    </w:p>
    <w:p>
      <w:pPr>
        <w:pStyle w:val="Heading2"/>
        <w:spacing w:after="140" w:before="300"/>
      </w:pPr>
      <w:r>
        <w:rPr>
          <w:rFonts w:ascii="Calibri" w:cs="Calibri" w:eastAsia="Calibri" w:hAnsi="Calibri"/>
          <w:b/>
          <w:bCs/>
          <w:color w:val="2E5496"/>
          <w:sz w:val="24"/>
          <w:szCs w:val="24"/>
        </w:rPr>
        <w:t xml:space="preserve">Point 8 — Statistical significance of the SVM improvement</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Test whether the reported SVM improvement over EfficientNetB0 is statistically significant using an appropriate paired method such as McNemar’s test or paired bootstrap analysis.</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As reported under B2, the original comparison could not be tested because the two models were scored on different data. Both are now scored on the same pooled out-of-fold predictions, so a paired test applies.</w:t>
      </w:r>
    </w:p>
    <w:p>
      <w:pPr>
        <w:spacing w:after="120" w:line="276"/>
      </w:pPr>
      <w:r>
        <w:rPr>
          <w:rFonts w:ascii="Calibri" w:cs="Calibri" w:eastAsia="Calibri" w:hAnsi="Calibri"/>
          <w:sz w:val="22"/>
          <w:szCs w:val="22"/>
        </w:rPr>
        <w:t xml:space="preserve">The comparison between the standalone CNN and the EfficientNetB0+SVM hybrid was designated the primary comparison in advance, as the Editor raised it specifically, and is reported unadjusted. The remaining pairwise comparisons are exploratory and carry Holm-adjusted values.</w:t>
      </w:r>
    </w:p>
    <w:p>
      <w:pPr>
        <w:spacing w:after="120" w:line="276"/>
      </w:pPr>
      <w:r>
        <w:rPr>
          <w:rFonts w:ascii="Calibri" w:cs="Calibri" w:eastAsia="Calibri" w:hAnsi="Calibri"/>
          <w:b/>
          <w:bCs/>
          <w:sz w:val="22"/>
          <w:szCs w:val="22"/>
        </w:rPr>
        <w:t xml:space="preserve">Four-class, group-disjoint evaluation: </w:t>
      </w:r>
      <w:r>
        <w:rPr>
          <w:rFonts w:ascii="Calibri" w:cs="Calibri" w:eastAsia="Calibri" w:hAnsi="Calibri"/>
          <w:sz w:val="22"/>
          <w:szCs w:val="22"/>
        </w:rPr>
        <w:t xml:space="preserve">the hybrid improves balanced accuracy by 1.16 percentage points (95% CI 0.26 to 2.08; group-level paired bootstrap p = 0.011; exact McNemar p = 0.0002).</w:t>
      </w:r>
    </w:p>
    <w:p>
      <w:pPr>
        <w:spacing w:after="120" w:line="276"/>
      </w:pPr>
      <w:r>
        <w:rPr>
          <w:rFonts w:ascii="Calibri" w:cs="Calibri" w:eastAsia="Calibri" w:hAnsi="Calibri"/>
          <w:b/>
          <w:bCs/>
          <w:sz w:val="22"/>
          <w:szCs w:val="22"/>
        </w:rPr>
        <w:t xml:space="preserve">Source-homogeneous three-class evaluation: </w:t>
      </w:r>
      <w:r>
        <w:rPr>
          <w:rFonts w:ascii="Calibri" w:cs="Calibri" w:eastAsia="Calibri" w:hAnsi="Calibri"/>
          <w:sz w:val="22"/>
          <w:szCs w:val="22"/>
        </w:rPr>
        <w:t xml:space="preserve">1.86 percentage points (95% CI 0.62 to 3.24; patient-level paired bootstrap p = 0.003).</w:t>
      </w:r>
    </w:p>
    <w:p>
      <w:pPr>
        <w:spacing w:after="120" w:line="276"/>
      </w:pPr>
      <w:r>
        <w:rPr>
          <w:rFonts w:ascii="Calibri" w:cs="Calibri" w:eastAsia="Calibri" w:hAnsi="Calibri"/>
          <w:sz w:val="22"/>
          <w:szCs w:val="22"/>
        </w:rPr>
        <w:t xml:space="preserve">We report both tests and designate the bootstrap as primary. McNemar’s test assumes independent observations, which approximately four to sixteen correlated images per patient violates; the group-level paired bootstrap respects the correlation structure. The two agree in direction here, and where such tests disagree we would follow the bootstrap.</w:t>
      </w:r>
    </w:p>
    <w:p>
      <w:pPr>
        <w:spacing w:after="120" w:line="276"/>
      </w:pPr>
      <w:r>
        <w:rPr>
          <w:rFonts w:ascii="Calibri" w:cs="Calibri" w:eastAsia="Calibri" w:hAnsi="Calibri"/>
          <w:b/>
          <w:bCs/>
          <w:sz w:val="22"/>
          <w:szCs w:val="22"/>
        </w:rPr>
        <w:t xml:space="preserve">We do not claim that the SVM is the best classifier. </w:t>
      </w:r>
      <w:r>
        <w:rPr>
          <w:rFonts w:ascii="Calibri" w:cs="Calibri" w:eastAsia="Calibri" w:hAnsi="Calibri"/>
          <w:sz w:val="22"/>
          <w:szCs w:val="22"/>
        </w:rPr>
        <w:t xml:space="preserve">The MLP head reaches slightly higher accuracy (0.9415 against 0.9405) and the two are not statistically distinguishable, as are the SVM and logistic-regression heads. The defensible claim is that replacing the end-to-end softmax layer with a conventional classifier yields a small but detectable improvement, and that no single downstream classifier dominates. Nearest-neighbour and random-forest heads do not improve on the CNN at all.</w:t>
      </w:r>
    </w:p>
    <w:p>
      <w:pPr>
        <w:spacing w:after="120" w:line="276"/>
      </w:pPr>
      <w:r>
        <w:rPr>
          <w:rFonts w:ascii="Calibri" w:cs="Calibri" w:eastAsia="Calibri" w:hAnsi="Calibri"/>
          <w:sz w:val="22"/>
          <w:szCs w:val="22"/>
        </w:rPr>
        <w:t xml:space="preserve">A further observation bears on this. Under the image-level split the SVM advantage over the CNN is attenuated (p = 0.024) and the nearest-neighbour head becomes the best model overall; under group-disjoint splitting the advantage is clearer and the nearest-neighbour head is the worst. Relative model ranking on this benchmark is not stable to the evaluation protocol, which is itself a reason for caution about comparative claims in this literature.</w:t>
      </w:r>
    </w:p>
    <w:p>
      <w:pPr>
        <w:pStyle w:val="Heading2"/>
        <w:spacing w:after="140" w:before="300"/>
      </w:pPr>
      <w:r>
        <w:rPr>
          <w:rFonts w:ascii="Calibri" w:cs="Calibri" w:eastAsia="Calibri" w:hAnsi="Calibri"/>
          <w:b/>
          <w:bCs/>
          <w:color w:val="2E5496"/>
          <w:sz w:val="24"/>
          <w:szCs w:val="24"/>
        </w:rPr>
        <w:t xml:space="preserve">Point 9 — Quantitative error and interpretability analysis</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Add quantitative error and interpretability analyses, including representative correctly and incorrectly classified cases, relevant MRI regions, and clinically meaningful explanations.</w:t>
      </w:r>
    </w:p>
    <w:p>
      <w:pPr>
        <w:spacing w:after="120" w:line="276"/>
      </w:pPr>
      <w:r>
        <w:rPr>
          <w:rFonts w:ascii="Calibri" w:cs="Calibri" w:eastAsia="Calibri" w:hAnsi="Calibri"/>
          <w:b/>
          <w:bCs/>
          <w:sz w:val="22"/>
          <w:szCs w:val="22"/>
        </w:rPr>
        <w:t xml:space="preserve">Response. </w:t>
      </w:r>
      <w:r>
        <w:rPr>
          <w:rFonts w:ascii="Calibri" w:cs="Calibri" w:eastAsia="Calibri" w:hAnsi="Calibri"/>
          <w:sz w:val="22"/>
          <w:szCs w:val="22"/>
        </w:rPr>
        <w:t xml:space="preserve">Attribution is scored rather than illustrated. The Figshare subset supplies a binary tumour mask with every slice, so 3,038 images (79.7% of the cohort) support quantitative evaluation. Masks are used only for images rendered from the original archives; SARTAJ copies were independently rescaled before redistribution and their masks would not register.</w:t>
      </w:r>
    </w:p>
    <w:p>
      <w:pPr>
        <w:spacing w:after="120" w:line="276"/>
      </w:pPr>
      <w:r>
        <w:rPr>
          <w:rFonts w:ascii="Calibri" w:cs="Calibri" w:eastAsia="Calibri" w:hAnsi="Calibri"/>
          <w:b/>
          <w:bCs/>
          <w:sz w:val="22"/>
          <w:szCs w:val="22"/>
        </w:rPr>
        <w:t xml:space="preserve">Metrics. </w:t>
      </w:r>
      <w:r>
        <w:rPr>
          <w:rFonts w:ascii="Calibri" w:cs="Calibri" w:eastAsia="Calibri" w:hAnsi="Calibri"/>
          <w:sz w:val="22"/>
          <w:szCs w:val="22"/>
        </w:rPr>
        <w:t xml:space="preserve">For each image we compute the fraction of attribution mass falling inside the tumour mask, normalised by the mask’s own area fraction. This ratio, which we call concentration, has a value of 1.0 for a uniform and therefore uninformative map; higher values indicate attribution concentrated on the lesion. Normalisation matters, because a large tumour captures a large share of a diffuse map. We also report the pointing game and an area-matched IoU in which the salient region is thresholded to the same size as the ground-truth mask, so that the overlap measure does not depend on an arbitrary threshold.</w:t>
      </w:r>
    </w:p>
    <w:p>
      <w:pPr>
        <w:spacing w:after="120" w:line="276"/>
      </w:pPr>
      <w:r>
        <w:rPr>
          <w:rFonts w:ascii="Calibri" w:cs="Calibri" w:eastAsia="Calibri" w:hAnsi="Calibri"/>
          <w:b/>
          <w:bCs/>
          <w:sz w:val="22"/>
          <w:szCs w:val="22"/>
        </w:rPr>
        <w:t xml:space="preserve">Attribution targets the deployed model. </w:t>
      </w:r>
      <w:r>
        <w:rPr>
          <w:rFonts w:ascii="Calibri" w:cs="Calibri" w:eastAsia="Calibri" w:hAnsi="Calibri"/>
          <w:sz w:val="22"/>
          <w:szCs w:val="22"/>
        </w:rPr>
        <w:t xml:space="preserve">Grad-CAM differentiates through the CNN’s own classification head, which the hybrid models discard. For the hybrid we therefore use occlusion sensitivity on the complete pipeline — image, backbone, pooled features, classical head — with the head refitted per fold exactly as in the main analysis. Where we report Grad-CAM we state that it describes the shared feature extractor and not the hybrid decision boundary.</w:t>
      </w:r>
    </w:p>
    <w:p>
      <w:pPr>
        <w:spacing w:after="120"/>
      </w:pPr>
      <w:r>
        <w:rPr>
          <w:sz w:val="16"/>
          <w:szCs w:val="16"/>
        </w:rPr>
        <w:t xml:space="preserve"/>
      </w:r>
    </w:p>
    <w:p>
      <w:pPr>
        <w:spacing w:after="120" w:line="276"/>
      </w:pPr>
      <w:r>
        <w:rPr>
          <w:rFonts w:ascii="Calibri" w:cs="Calibri" w:eastAsia="Calibri" w:hAnsi="Calibri"/>
          <w:b/>
          <w:bCs/>
          <w:sz w:val="20"/>
          <w:szCs w:val="20"/>
        </w:rPr>
        <w:t xml:space="preserve">Table R5. Occlusion attribution on the hybrid pipeline, source-homogeneous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2697"/>
        <w:gridCol w:w="2697"/>
        <w:gridCol w:w="1586"/>
      </w:tblGrid>
      <w:tr>
        <w:trPr>
          <w:tblHeader/>
        </w:trPr>
        <w:tc>
          <w:tcPr>
            <w:tcW w:type="dxa" w:w="2380"/>
            <w:shd w:fill="E8EDF5" w:color="auto" w:val="clear"/>
            <w:tcMar>
              <w:top w:type="dxa" w:w="60"/>
              <w:left w:type="dxa" w:w="90"/>
              <w:bottom w:type="dxa" w:w="60"/>
              <w:right w:type="dxa" w:w="90"/>
            </w:tcMar>
          </w:tcPr>
          <w:p>
            <w:pPr>
              <w:spacing w:after="0" w:line="240"/>
            </w:pPr>
            <w:r>
              <w:rPr>
                <w:rFonts w:ascii="Calibri" w:cs="Calibri" w:eastAsia="Calibri" w:hAnsi="Calibri"/>
                <w:b/>
                <w:bCs/>
                <w:sz w:val="19"/>
                <w:szCs w:val="19"/>
              </w:rPr>
              <w:t xml:space="preserve">Class</w:t>
            </w:r>
          </w:p>
        </w:tc>
        <w:tc>
          <w:tcPr>
            <w:tcW w:type="dxa" w:w="2697"/>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Concentration, correct</w:t>
            </w:r>
          </w:p>
        </w:tc>
        <w:tc>
          <w:tcPr>
            <w:tcW w:type="dxa" w:w="2697"/>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Concentration, incorrect</w:t>
            </w:r>
          </w:p>
        </w:tc>
        <w:tc>
          <w:tcPr>
            <w:tcW w:type="dxa" w:w="1586"/>
            <w:shd w:fill="E8EDF5" w:color="auto" w:val="clear"/>
            <w:tcMar>
              <w:top w:type="dxa" w:w="60"/>
              <w:left w:type="dxa" w:w="90"/>
              <w:bottom w:type="dxa" w:w="60"/>
              <w:right w:type="dxa" w:w="90"/>
            </w:tcMar>
          </w:tcPr>
          <w:p>
            <w:pPr>
              <w:spacing w:after="0" w:line="240"/>
              <w:jc w:val="center"/>
            </w:pPr>
            <w:r>
              <w:rPr>
                <w:rFonts w:ascii="Calibri" w:cs="Calibri" w:eastAsia="Calibri" w:hAnsi="Calibri"/>
                <w:b/>
                <w:bCs/>
                <w:sz w:val="19"/>
                <w:szCs w:val="19"/>
              </w:rPr>
              <w:t xml:space="preserve">Pointing</w:t>
            </w:r>
          </w:p>
        </w:tc>
      </w:tr>
      <w:tr>
        <w:tc>
          <w:tcPr>
            <w:tcW w:type="dxa" w:w="2380"/>
            <w:tcMar>
              <w:top w:type="dxa" w:w="60"/>
              <w:left w:type="dxa" w:w="90"/>
              <w:bottom w:type="dxa" w:w="60"/>
              <w:right w:type="dxa" w:w="90"/>
            </w:tcMar>
          </w:tcPr>
          <w:p>
            <w:pPr>
              <w:spacing w:after="0" w:line="240"/>
            </w:pPr>
            <w:r>
              <w:rPr>
                <w:rFonts w:ascii="Calibri" w:cs="Calibri" w:eastAsia="Calibri" w:hAnsi="Calibri"/>
                <w:sz w:val="19"/>
                <w:szCs w:val="19"/>
              </w:rPr>
              <w:t xml:space="preserve">Meningioma</w:t>
            </w:r>
          </w:p>
        </w:tc>
        <w:tc>
          <w:tcPr>
            <w:tcW w:type="dxa" w:w="2697"/>
            <w:tcMar>
              <w:top w:type="dxa" w:w="60"/>
              <w:left w:type="dxa" w:w="90"/>
              <w:bottom w:type="dxa" w:w="60"/>
              <w:right w:type="dxa" w:w="90"/>
            </w:tcMar>
          </w:tcPr>
          <w:p>
            <w:pPr>
              <w:spacing w:after="0" w:line="240"/>
              <w:jc w:val="center"/>
            </w:pPr>
            <w:r>
              <w:rPr>
                <w:rFonts w:ascii="Calibri" w:cs="Calibri" w:eastAsia="Calibri" w:hAnsi="Calibri"/>
                <w:sz w:val="19"/>
                <w:szCs w:val="19"/>
              </w:rPr>
              <w:t xml:space="preserve">6.54</w:t>
            </w:r>
          </w:p>
        </w:tc>
        <w:tc>
          <w:tcPr>
            <w:tcW w:type="dxa" w:w="2697"/>
            <w:tcMar>
              <w:top w:type="dxa" w:w="60"/>
              <w:left w:type="dxa" w:w="90"/>
              <w:bottom w:type="dxa" w:w="60"/>
              <w:right w:type="dxa" w:w="90"/>
            </w:tcMar>
          </w:tcPr>
          <w:p>
            <w:pPr>
              <w:spacing w:after="0" w:line="240"/>
              <w:jc w:val="center"/>
            </w:pPr>
            <w:r>
              <w:rPr>
                <w:rFonts w:ascii="Calibri" w:cs="Calibri" w:eastAsia="Calibri" w:hAnsi="Calibri"/>
                <w:sz w:val="19"/>
                <w:szCs w:val="19"/>
              </w:rPr>
              <w:t xml:space="preserve">2.29</w:t>
            </w:r>
          </w:p>
        </w:tc>
        <w:tc>
          <w:tcPr>
            <w:tcW w:type="dxa" w:w="1586"/>
            <w:tcMar>
              <w:top w:type="dxa" w:w="60"/>
              <w:left w:type="dxa" w:w="90"/>
              <w:bottom w:type="dxa" w:w="60"/>
              <w:right w:type="dxa" w:w="90"/>
            </w:tcMar>
          </w:tcPr>
          <w:p>
            <w:pPr>
              <w:spacing w:after="0" w:line="240"/>
              <w:jc w:val="center"/>
            </w:pPr>
            <w:r>
              <w:rPr>
                <w:rFonts w:ascii="Calibri" w:cs="Calibri" w:eastAsia="Calibri" w:hAnsi="Calibri"/>
                <w:sz w:val="19"/>
                <w:szCs w:val="19"/>
              </w:rPr>
              <w:t xml:space="preserve">0.345</w:t>
            </w:r>
          </w:p>
        </w:tc>
      </w:tr>
      <w:tr>
        <w:tc>
          <w:tcPr>
            <w:tcW w:type="dxa" w:w="2380"/>
            <w:tcMar>
              <w:top w:type="dxa" w:w="60"/>
              <w:left w:type="dxa" w:w="90"/>
              <w:bottom w:type="dxa" w:w="60"/>
              <w:right w:type="dxa" w:w="90"/>
            </w:tcMar>
          </w:tcPr>
          <w:p>
            <w:pPr>
              <w:spacing w:after="0" w:line="240"/>
            </w:pPr>
            <w:r>
              <w:rPr>
                <w:rFonts w:ascii="Calibri" w:cs="Calibri" w:eastAsia="Calibri" w:hAnsi="Calibri"/>
                <w:sz w:val="19"/>
                <w:szCs w:val="19"/>
              </w:rPr>
              <w:t xml:space="preserve">Glioma</w:t>
            </w:r>
          </w:p>
        </w:tc>
        <w:tc>
          <w:tcPr>
            <w:tcW w:type="dxa" w:w="2697"/>
            <w:tcMar>
              <w:top w:type="dxa" w:w="60"/>
              <w:left w:type="dxa" w:w="90"/>
              <w:bottom w:type="dxa" w:w="60"/>
              <w:right w:type="dxa" w:w="90"/>
            </w:tcMar>
          </w:tcPr>
          <w:p>
            <w:pPr>
              <w:spacing w:after="0" w:line="240"/>
              <w:jc w:val="center"/>
            </w:pPr>
            <w:r>
              <w:rPr>
                <w:rFonts w:ascii="Calibri" w:cs="Calibri" w:eastAsia="Calibri" w:hAnsi="Calibri"/>
                <w:sz w:val="19"/>
                <w:szCs w:val="19"/>
              </w:rPr>
              <w:t xml:space="preserve">2.29</w:t>
            </w:r>
          </w:p>
        </w:tc>
        <w:tc>
          <w:tcPr>
            <w:tcW w:type="dxa" w:w="2697"/>
            <w:tcMar>
              <w:top w:type="dxa" w:w="60"/>
              <w:left w:type="dxa" w:w="90"/>
              <w:bottom w:type="dxa" w:w="60"/>
              <w:right w:type="dxa" w:w="90"/>
            </w:tcMar>
          </w:tcPr>
          <w:p>
            <w:pPr>
              <w:spacing w:after="0" w:line="240"/>
              <w:jc w:val="center"/>
            </w:pPr>
            <w:r>
              <w:rPr>
                <w:rFonts w:ascii="Calibri" w:cs="Calibri" w:eastAsia="Calibri" w:hAnsi="Calibri"/>
                <w:sz w:val="19"/>
                <w:szCs w:val="19"/>
              </w:rPr>
              <w:t xml:space="preserve">0.51</w:t>
            </w:r>
          </w:p>
        </w:tc>
        <w:tc>
          <w:tcPr>
            <w:tcW w:type="dxa" w:w="1586"/>
            <w:tcMar>
              <w:top w:type="dxa" w:w="60"/>
              <w:left w:type="dxa" w:w="90"/>
              <w:bottom w:type="dxa" w:w="60"/>
              <w:right w:type="dxa" w:w="90"/>
            </w:tcMar>
          </w:tcPr>
          <w:p>
            <w:pPr>
              <w:spacing w:after="0" w:line="240"/>
              <w:jc w:val="center"/>
            </w:pPr>
            <w:r>
              <w:rPr>
                <w:rFonts w:ascii="Calibri" w:cs="Calibri" w:eastAsia="Calibri" w:hAnsi="Calibri"/>
                <w:sz w:val="19"/>
                <w:szCs w:val="19"/>
              </w:rPr>
              <w:t xml:space="preserve">0.079</w:t>
            </w:r>
          </w:p>
        </w:tc>
      </w:tr>
      <w:tr>
        <w:tc>
          <w:tcPr>
            <w:tcW w:type="dxa" w:w="2380"/>
            <w:tcMar>
              <w:top w:type="dxa" w:w="60"/>
              <w:left w:type="dxa" w:w="90"/>
              <w:bottom w:type="dxa" w:w="60"/>
              <w:right w:type="dxa" w:w="90"/>
            </w:tcMar>
          </w:tcPr>
          <w:p>
            <w:pPr>
              <w:spacing w:after="0" w:line="240"/>
            </w:pPr>
            <w:r>
              <w:rPr>
                <w:rFonts w:ascii="Calibri" w:cs="Calibri" w:eastAsia="Calibri" w:hAnsi="Calibri"/>
                <w:sz w:val="19"/>
                <w:szCs w:val="19"/>
              </w:rPr>
              <w:t xml:space="preserve">Pituitary</w:t>
            </w:r>
          </w:p>
        </w:tc>
        <w:tc>
          <w:tcPr>
            <w:tcW w:type="dxa" w:w="2697"/>
            <w:tcMar>
              <w:top w:type="dxa" w:w="60"/>
              <w:left w:type="dxa" w:w="90"/>
              <w:bottom w:type="dxa" w:w="60"/>
              <w:right w:type="dxa" w:w="90"/>
            </w:tcMar>
          </w:tcPr>
          <w:p>
            <w:pPr>
              <w:spacing w:after="0" w:line="240"/>
              <w:jc w:val="center"/>
            </w:pPr>
            <w:r>
              <w:rPr>
                <w:rFonts w:ascii="Calibri" w:cs="Calibri" w:eastAsia="Calibri" w:hAnsi="Calibri"/>
                <w:sz w:val="19"/>
                <w:szCs w:val="19"/>
              </w:rPr>
              <w:t xml:space="preserve">1.48</w:t>
            </w:r>
          </w:p>
        </w:tc>
        <w:tc>
          <w:tcPr>
            <w:tcW w:type="dxa" w:w="2697"/>
            <w:tcMar>
              <w:top w:type="dxa" w:w="60"/>
              <w:left w:type="dxa" w:w="90"/>
              <w:bottom w:type="dxa" w:w="60"/>
              <w:right w:type="dxa" w:w="90"/>
            </w:tcMar>
          </w:tcPr>
          <w:p>
            <w:pPr>
              <w:spacing w:after="0" w:line="240"/>
              <w:jc w:val="center"/>
            </w:pPr>
            <w:r>
              <w:rPr>
                <w:rFonts w:ascii="Calibri" w:cs="Calibri" w:eastAsia="Calibri" w:hAnsi="Calibri"/>
                <w:sz w:val="19"/>
                <w:szCs w:val="19"/>
              </w:rPr>
              <w:t xml:space="preserve">0.21</w:t>
            </w:r>
          </w:p>
        </w:tc>
        <w:tc>
          <w:tcPr>
            <w:tcW w:type="dxa" w:w="1586"/>
            <w:tcMar>
              <w:top w:type="dxa" w:w="60"/>
              <w:left w:type="dxa" w:w="90"/>
              <w:bottom w:type="dxa" w:w="60"/>
              <w:right w:type="dxa" w:w="90"/>
            </w:tcMar>
          </w:tcPr>
          <w:p>
            <w:pPr>
              <w:spacing w:after="0" w:line="240"/>
              <w:jc w:val="center"/>
            </w:pPr>
            <w:r>
              <w:rPr>
                <w:rFonts w:ascii="Calibri" w:cs="Calibri" w:eastAsia="Calibri" w:hAnsi="Calibri"/>
                <w:sz w:val="19"/>
                <w:szCs w:val="19"/>
              </w:rPr>
              <w:t xml:space="preserve">0.011</w:t>
            </w:r>
          </w:p>
        </w:tc>
      </w:tr>
    </w:tbl>
    <w:p>
      <w:pPr>
        <w:spacing w:after="120"/>
      </w:pPr>
      <w:r>
        <w:rPr>
          <w:sz w:val="16"/>
          <w:szCs w:val="16"/>
        </w:rPr>
        <w:t xml:space="preserve"/>
      </w:r>
    </w:p>
    <w:p>
      <w:pPr>
        <w:spacing w:after="120" w:line="276"/>
      </w:pPr>
      <w:r>
        <w:rPr>
          <w:rFonts w:ascii="Calibri" w:cs="Calibri" w:eastAsia="Calibri" w:hAnsi="Calibri"/>
          <w:sz w:val="22"/>
          <w:szCs w:val="22"/>
        </w:rPr>
        <w:t xml:space="preserve">Attribution is concentrated on the annotated lesion for all three classes, and concentration is three- to sevenfold higher on correct than on incorrect predictions. This is the behaviour a sound model should show: when the model is right it is attending to the lesion, and when it is wrong it is not. To our knowledge this contrast has not previously been quantified on this benchmark.</w:t>
      </w:r>
    </w:p>
    <w:p>
      <w:pPr>
        <w:spacing w:after="120" w:line="276"/>
      </w:pPr>
      <w:r>
        <w:rPr>
          <w:rFonts w:ascii="Calibri" w:cs="Calibri" w:eastAsia="Calibri" w:hAnsi="Calibri"/>
          <w:b/>
          <w:bCs/>
          <w:sz w:val="22"/>
          <w:szCs w:val="22"/>
        </w:rPr>
        <w:t xml:space="preserve">A methodological finding, reported because it changes how such analyses should be read. </w:t>
      </w:r>
      <w:r>
        <w:rPr>
          <w:rFonts w:ascii="Calibri" w:cs="Calibri" w:eastAsia="Calibri" w:hAnsi="Calibri"/>
          <w:sz w:val="22"/>
          <w:szCs w:val="22"/>
        </w:rPr>
        <w:t xml:space="preserve">Gradient-based attribution on the backbone and occlusion on the deployed pipeline disagreed sharply for pituitary tumours (concentration 0.28 against 2.25). The discrepancy is a resolution artefact: pituitary masks occupy 0.8% of the image, smaller than a single cell of the 7×7 grid on which Grad-CAM for this architecture is computed. Grad-CAM is not capable of localising this class at that resolution. We report the occlusion figures for the hybrid and describe the limitation.</w:t>
      </w:r>
    </w:p>
    <w:p>
      <w:pPr>
        <w:spacing w:after="120" w:line="276"/>
      </w:pPr>
      <w:r>
        <w:rPr>
          <w:rFonts w:ascii="Calibri" w:cs="Calibri" w:eastAsia="Calibri" w:hAnsi="Calibri"/>
          <w:sz w:val="22"/>
          <w:szCs w:val="22"/>
        </w:rPr>
        <w:t xml:space="preserve">For the same reason we do not report the absolute spatial spread of attribution. The share of attribution falling outside the head is approximately 0.50 for every class, but the background occupies 49.9% of the resized image; the metric carries no information at this grid resolution and we withdraw it. The evidence for acquisition shortcuts comes from the probes described under Point 1 and does not rest on it.</w:t>
      </w:r>
    </w:p>
    <w:p>
      <w:pPr>
        <w:spacing w:after="120" w:line="276"/>
      </w:pPr>
      <w:r>
        <w:rPr>
          <w:rFonts w:ascii="Calibri" w:cs="Calibri" w:eastAsia="Calibri" w:hAnsi="Calibri"/>
          <w:b/>
          <w:bCs/>
          <w:sz w:val="22"/>
          <w:szCs w:val="22"/>
        </w:rPr>
        <w:t xml:space="preserve">Error analysis. </w:t>
      </w:r>
      <w:r>
        <w:rPr>
          <w:rFonts w:ascii="Calibri" w:cs="Calibri" w:eastAsia="Calibri" w:hAnsi="Calibri"/>
          <w:sz w:val="22"/>
          <w:szCs w:val="22"/>
        </w:rPr>
        <w:t xml:space="preserve">Meningioma is the weakest class (precision 0.87, F1 0.877 in the four-class configuration), with the dominant confusions in both directions between glioma and meningioma. This is consistent with the clinical difficulty of the distinction: both present as intracranial lesions of variable appearance, whereas pituitary tumours occupy a fixed anatomical position. We note that the original manuscript reported 93% for meningioma, its largest single overstatement, and cited that class as the basis for the hybrid’s superiority.</w:t>
      </w:r>
    </w:p>
    <w:p>
      <w:pPr>
        <w:spacing w:after="120" w:line="276"/>
      </w:pPr>
      <w:r>
        <w:rPr>
          <w:rFonts w:ascii="Calibri" w:cs="Calibri" w:eastAsia="Calibri" w:hAnsi="Calibri"/>
          <w:sz w:val="22"/>
          <w:szCs w:val="22"/>
        </w:rPr>
        <w:t xml:space="preserve">Representative correctly and incorrectly classified cases with attribution overlays are provided for each class, selected at random within stratum rather than chosen by us, with the selection procedure and seed reported.</w:t>
      </w:r>
    </w:p>
    <w:p>
      <w:pPr>
        <w:pStyle w:val="Heading2"/>
        <w:spacing w:after="140" w:before="300"/>
      </w:pPr>
      <w:r>
        <w:rPr>
          <w:rFonts w:ascii="Calibri" w:cs="Calibri" w:eastAsia="Calibri" w:hAnsi="Calibri"/>
          <w:b/>
          <w:bCs/>
          <w:color w:val="2E5496"/>
          <w:sz w:val="24"/>
          <w:szCs w:val="24"/>
        </w:rPr>
        <w:t xml:space="preserve">Point 10 — Literature, discussion, limitations and reporting guidance</w:t>
      </w:r>
    </w:p>
    <w:p>
      <w:pPr>
        <w:spacing w:after="120" w:line="276"/>
      </w:pPr>
      <w:r>
        <w:rPr>
          <w:rFonts w:ascii="Calibri" w:cs="Calibri" w:eastAsia="Calibri" w:hAnsi="Calibri"/>
          <w:b/>
          <w:bCs/>
          <w:sz w:val="22"/>
          <w:szCs w:val="22"/>
        </w:rPr>
        <w:t xml:space="preserve">Comment. </w:t>
      </w:r>
      <w:r>
        <w:rPr>
          <w:rFonts w:ascii="Calibri" w:cs="Calibri" w:eastAsia="Calibri" w:hAnsi="Calibri"/>
          <w:i/>
          <w:iCs/>
          <w:sz w:val="22"/>
          <w:szCs w:val="22"/>
        </w:rPr>
        <w:t xml:space="preserve">Revise the literature review, discussion, limitations, and conclusion to provide critical clinical interpretation, acknowledge dataset and domain-shift limitations, moderate deployment claims, and comply with relevant medical-AI reporting guidance.</w:t>
      </w:r>
    </w:p>
    <w:p>
      <w:pPr>
        <w:spacing w:after="120" w:line="276"/>
      </w:pPr>
      <w:r>
        <w:rPr>
          <w:rFonts w:ascii="Calibri" w:cs="Calibri" w:eastAsia="Calibri" w:hAnsi="Calibri"/>
          <w:b/>
          <w:bCs/>
          <w:sz w:val="22"/>
          <w:szCs w:val="22"/>
        </w:rPr>
        <w:t xml:space="preserve">Literature review. </w:t>
      </w:r>
      <w:r>
        <w:rPr>
          <w:rFonts w:ascii="Calibri" w:cs="Calibri" w:eastAsia="Calibri" w:hAnsi="Calibri"/>
          <w:sz w:val="22"/>
          <w:szCs w:val="22"/>
        </w:rPr>
        <w:t xml:space="preserve">The review is restructured around a comparison table in which each prior study is characterised by dataset, whether patient-level splitting was performed, whether duplicate removal was performed, and whether external validation was conducted. This makes it possible to explain why accuracies of 98–99% reported on this benchmark are not directly comparable with ours, rather than simply listing them. We show that our own pipeline reaches 0.976 under the evaluation protocol those studies use and 0.923 under a leakage-controlled one.</w:t>
      </w:r>
    </w:p>
    <w:p>
      <w:pPr>
        <w:spacing w:after="120" w:line="276"/>
      </w:pPr>
      <w:r>
        <w:rPr>
          <w:rFonts w:ascii="Calibri" w:cs="Calibri" w:eastAsia="Calibri" w:hAnsi="Calibri"/>
          <w:b/>
          <w:bCs/>
          <w:sz w:val="22"/>
          <w:szCs w:val="22"/>
        </w:rPr>
        <w:t xml:space="preserve">Discussion. </w:t>
      </w:r>
      <w:r>
        <w:rPr>
          <w:rFonts w:ascii="Calibri" w:cs="Calibri" w:eastAsia="Calibri" w:hAnsi="Calibri"/>
          <w:sz w:val="22"/>
          <w:szCs w:val="22"/>
        </w:rPr>
        <w:t xml:space="preserve">The discussion is rewritten around the three measurements in Table R1 and their convergence. We are careful about causal language throughout: the third-party contrast is described as leakage-associated inflation, not inflation caused by leakage, because overlap status is not randomly assigned. The within-image paired analysis is the strongest of the three, because each image serves as its own control, and it is supported by a negative control on 3,699 non-overlapping images with randomly assigned fold labels which produced differences of −0.22 to +0.25 percentage points with all intervals spanning zero.</w:t>
      </w:r>
    </w:p>
    <w:p>
      <w:pPr>
        <w:spacing w:after="120" w:line="276"/>
      </w:pPr>
      <w:r>
        <w:rPr>
          <w:rFonts w:ascii="Calibri" w:cs="Calibri" w:eastAsia="Calibri" w:hAnsi="Calibri"/>
          <w:sz w:val="22"/>
          <w:szCs w:val="22"/>
        </w:rPr>
        <w:t xml:space="preserve">We also report, rather than omit, the analysis that weakened one of our own hypotheses. The observational contrast on the third-party release attenuated from approximately 6 to approximately 2 percentage points when the comparison group was restricted to images at nearest distance ≥12 bits, and the restricted contrast was not statistically significant. We attribute this to power — that subset comprises 395 images with interval widths of approximately ±4 percentage points — and note that the paired design, with 2,009 images and interval widths of ±1.1 percentage points, detects effects of that size comfortably. We present this reasoning explicitly rather than reporting only the favourable analysis.</w:t>
      </w:r>
    </w:p>
    <w:p>
      <w:pPr>
        <w:spacing w:after="120" w:line="276"/>
      </w:pPr>
      <w:r>
        <w:rPr>
          <w:rFonts w:ascii="Calibri" w:cs="Calibri" w:eastAsia="Calibri" w:hAnsi="Calibri"/>
          <w:b/>
          <w:bCs/>
          <w:sz w:val="22"/>
          <w:szCs w:val="22"/>
        </w:rPr>
        <w:t xml:space="preserve">Limitations, stated without hedging:</w:t>
      </w:r>
    </w:p>
    <w:p>
      <w:pPr>
        <w:pStyle w:val="ListParagraph"/>
        <w:numPr>
          <w:ilvl w:val="0"/>
          <w:numId w:val="3"/>
        </w:numPr>
        <w:spacing w:after="80" w:line="276"/>
      </w:pPr>
      <w:r>
        <w:rPr>
          <w:rFonts w:ascii="Calibri" w:cs="Calibri" w:eastAsia="Calibri" w:hAnsi="Calibri"/>
          <w:sz w:val="22"/>
          <w:szCs w:val="22"/>
        </w:rPr>
        <w:t xml:space="preserve">No independent external validation was performed, for the reasons given under Point 5. This is the principal limitation.</w:t>
      </w:r>
    </w:p>
    <w:p>
      <w:pPr>
        <w:pStyle w:val="ListParagraph"/>
        <w:numPr>
          <w:ilvl w:val="0"/>
          <w:numId w:val="3"/>
        </w:numPr>
        <w:spacing w:after="80" w:line="276"/>
      </w:pPr>
      <w:r>
        <w:rPr>
          <w:rFonts w:ascii="Calibri" w:cs="Calibri" w:eastAsia="Calibri" w:hAnsi="Calibri"/>
          <w:sz w:val="22"/>
          <w:szCs w:val="22"/>
        </w:rPr>
        <w:t xml:space="preserve">Patient identifiers exist for only one of the three repositories. Elsewhere, leakage-control groups are inferred from image similarity and are not patients; intervals for those classes remain optimistic if the repositories contain multiple non-duplicate slices per patient.</w:t>
      </w:r>
    </w:p>
    <w:p>
      <w:pPr>
        <w:pStyle w:val="ListParagraph"/>
        <w:numPr>
          <w:ilvl w:val="0"/>
          <w:numId w:val="3"/>
        </w:numPr>
        <w:spacing w:after="80" w:line="276"/>
      </w:pPr>
      <w:r>
        <w:rPr>
          <w:rFonts w:ascii="Calibri" w:cs="Calibri" w:eastAsia="Calibri" w:hAnsi="Calibri"/>
          <w:sz w:val="22"/>
          <w:szCs w:val="22"/>
        </w:rPr>
        <w:t xml:space="preserve">The no-tumour class derives from a single repository that differs in imaging sequence from the tumour classes, and is separable from acquisition signature alone. Its per-class figures cannot be interpreted as diagnostic performance. Masking the background does not remove this confound: the repository remains recoverable from the head region alone (0.980 recall), consistent with the difference residing in tissue contrast rather than framing.</w:t>
      </w:r>
    </w:p>
    <w:p>
      <w:pPr>
        <w:pStyle w:val="ListParagraph"/>
        <w:numPr>
          <w:ilvl w:val="0"/>
          <w:numId w:val="3"/>
        </w:numPr>
        <w:spacing w:after="80" w:line="276"/>
      </w:pPr>
      <w:r>
        <w:rPr>
          <w:rFonts w:ascii="Calibri" w:cs="Calibri" w:eastAsia="Calibri" w:hAnsi="Calibri"/>
          <w:sz w:val="22"/>
          <w:szCs w:val="22"/>
        </w:rPr>
        <w:t xml:space="preserve">Glioma contributes 1,418 images from only 89 patients. Class weighting operates at the image level and therefore overstates the diversity of that class.</w:t>
      </w:r>
    </w:p>
    <w:p>
      <w:pPr>
        <w:pStyle w:val="ListParagraph"/>
        <w:numPr>
          <w:ilvl w:val="0"/>
          <w:numId w:val="3"/>
        </w:numPr>
        <w:spacing w:after="80" w:line="276"/>
      </w:pPr>
      <w:r>
        <w:rPr>
          <w:rFonts w:ascii="Calibri" w:cs="Calibri" w:eastAsia="Calibri" w:hAnsi="Calibri"/>
          <w:sz w:val="22"/>
          <w:szCs w:val="22"/>
        </w:rPr>
        <w:t xml:space="preserve">The analysis is retrospective and slice-based rather than volumetric; no comparison against radiologist performance was performed.</w:t>
      </w:r>
    </w:p>
    <w:p>
      <w:pPr>
        <w:pStyle w:val="ListParagraph"/>
        <w:numPr>
          <w:ilvl w:val="0"/>
          <w:numId w:val="3"/>
        </w:numPr>
        <w:spacing w:after="80" w:line="276"/>
      </w:pPr>
      <w:r>
        <w:rPr>
          <w:rFonts w:ascii="Calibri" w:cs="Calibri" w:eastAsia="Calibri" w:hAnsi="Calibri"/>
          <w:sz w:val="22"/>
          <w:szCs w:val="22"/>
        </w:rPr>
        <w:t xml:space="preserve">Hyperparameter selection for the classical heads carries the residual optimism described under Point 6.</w:t>
      </w:r>
    </w:p>
    <w:p>
      <w:pPr>
        <w:pStyle w:val="ListParagraph"/>
        <w:numPr>
          <w:ilvl w:val="0"/>
          <w:numId w:val="3"/>
        </w:numPr>
        <w:spacing w:after="80" w:line="276"/>
      </w:pPr>
      <w:r>
        <w:rPr>
          <w:rFonts w:ascii="Calibri" w:cs="Calibri" w:eastAsia="Calibri" w:hAnsi="Calibri"/>
          <w:sz w:val="22"/>
          <w:szCs w:val="22"/>
        </w:rPr>
        <w:t xml:space="preserve">The benchmark’s aggregated release is mutable and has been revised since our original submission; we report the version used and the date.</w:t>
      </w:r>
    </w:p>
    <w:p>
      <w:pPr>
        <w:spacing w:after="120" w:line="276"/>
      </w:pPr>
      <w:r>
        <w:rPr>
          <w:rFonts w:ascii="Calibri" w:cs="Calibri" w:eastAsia="Calibri" w:hAnsi="Calibri"/>
          <w:b/>
          <w:bCs/>
          <w:sz w:val="22"/>
          <w:szCs w:val="22"/>
        </w:rPr>
        <w:t xml:space="preserve">Moderated conclusions. </w:t>
      </w:r>
      <w:r>
        <w:rPr>
          <w:rFonts w:ascii="Calibri" w:cs="Calibri" w:eastAsia="Calibri" w:hAnsi="Calibri"/>
          <w:sz w:val="22"/>
          <w:szCs w:val="22"/>
        </w:rPr>
        <w:t xml:space="preserve">All claims of clinical readiness, decision support and second-opinion utility are removed. The conclusion now states that the results support technical feasibility under a leakage-controlled retrospective benchmark, and that substantial source confounding, the absence of verifiable external validation, and class-dependent attribution quality preclude claims of clinical readiness.</w:t>
      </w:r>
    </w:p>
    <w:p>
      <w:pPr>
        <w:spacing w:after="120" w:line="276"/>
      </w:pPr>
      <w:r>
        <w:rPr>
          <w:rFonts w:ascii="Calibri" w:cs="Calibri" w:eastAsia="Calibri" w:hAnsi="Calibri"/>
          <w:b/>
          <w:bCs/>
          <w:sz w:val="22"/>
          <w:szCs w:val="22"/>
        </w:rPr>
        <w:t xml:space="preserve">Reporting guidance. </w:t>
      </w:r>
      <w:r>
        <w:rPr>
          <w:rFonts w:ascii="Calibri" w:cs="Calibri" w:eastAsia="Calibri" w:hAnsi="Calibri"/>
          <w:sz w:val="22"/>
          <w:szCs w:val="22"/>
        </w:rPr>
        <w:t xml:space="preserve">A completed CLAIM 2024 checklist is provided as supplementary material, with particular attention to the items on data partitioning, internal versus external testing, and reporting of acquisition parameters. The manuscript also follows STARD-AI where applicable. Where a checklist item cannot be satisfied — external testing, and acquisition parameters for two of the three repositories — we record that it was not satisfied and why, rather than leaving the item blank.</w:t>
      </w:r>
    </w:p>
    <w:p>
      <w:pPr>
        <w:pBdr>
          <w:bottom w:val="single" w:color="BFBFBF" w:sz="6" w:space="1"/>
        </w:pBdr>
        <w:spacing w:after="200" w:before="160"/>
      </w:pPr>
      <w:r>
        <w:rPr>
          <w:rFonts w:ascii="Calibri" w:cs="Calibri" w:eastAsia="Calibri" w:hAnsi="Calibri"/>
          <w:sz w:val="2"/>
          <w:szCs w:val="2"/>
        </w:rPr>
        <w:t xml:space="preserve"/>
      </w:r>
    </w:p>
    <w:p>
      <w:pPr>
        <w:pStyle w:val="Heading1"/>
        <w:spacing w:after="160" w:before="360"/>
      </w:pPr>
      <w:r>
        <w:rPr>
          <w:rFonts w:ascii="Calibri" w:cs="Calibri" w:eastAsia="Calibri" w:hAnsi="Calibri"/>
          <w:b/>
          <w:bCs/>
          <w:color w:val="1F3864"/>
          <w:sz w:val="28"/>
          <w:szCs w:val="28"/>
        </w:rPr>
        <w:t xml:space="preserve">D. Data and code availability</w:t>
      </w:r>
    </w:p>
    <w:p>
      <w:pPr>
        <w:spacing w:after="120" w:line="276"/>
      </w:pPr>
      <w:r>
        <w:rPr>
          <w:rFonts w:ascii="Calibri" w:cs="Calibri" w:eastAsia="Calibri" w:hAnsi="Calibri"/>
          <w:sz w:val="22"/>
          <w:szCs w:val="22"/>
        </w:rPr>
        <w:t xml:space="preserve">All code is deposited in a public repository under an open licence, including the provenance reconstruction, the deduplication and grouping pipeline, split generation with its verification checks, the training and evaluation code, the interpretability analyses, and the external contamination audit. The repository includes the configuration files, dependency lock file, split assignments, per-image out-of-fold predictions and audit manifests required to reproduce every number in the manuscript from the source repositories.</w:t>
      </w:r>
    </w:p>
    <w:p>
      <w:pPr>
        <w:spacing w:after="120" w:line="276"/>
      </w:pPr>
      <w:r>
        <w:rPr>
          <w:rFonts w:ascii="Calibri" w:cs="Calibri" w:eastAsia="Calibri" w:hAnsi="Calibri"/>
          <w:sz w:val="22"/>
          <w:szCs w:val="22"/>
        </w:rPr>
        <w:t xml:space="preserve">The external screening protocol was committed before the screening was run; the commit history evidences that the criteria were not chosen after seeing the results.</w:t>
      </w:r>
    </w:p>
    <w:p>
      <w:pPr>
        <w:pStyle w:val="Heading1"/>
        <w:spacing w:after="160" w:before="360"/>
      </w:pPr>
      <w:r>
        <w:rPr>
          <w:rFonts w:ascii="Calibri" w:cs="Calibri" w:eastAsia="Calibri" w:hAnsi="Calibri"/>
          <w:b/>
          <w:bCs/>
          <w:color w:val="1F3864"/>
          <w:sz w:val="28"/>
          <w:szCs w:val="28"/>
        </w:rPr>
        <w:t xml:space="preserve">E. Closing</w:t>
      </w:r>
    </w:p>
    <w:p>
      <w:pPr>
        <w:spacing w:after="120" w:line="276"/>
      </w:pPr>
      <w:r>
        <w:rPr>
          <w:rFonts w:ascii="Calibri" w:cs="Calibri" w:eastAsia="Calibri" w:hAnsi="Calibri"/>
          <w:sz w:val="22"/>
          <w:szCs w:val="22"/>
        </w:rPr>
        <w:t xml:space="preserve">We are conscious that this response reports more errors in our original submission than the review identified, and that the revised results are substantially lower than those we first reported. We think that is the correct outcome of taking the ten requirements seriously. The revised manuscript makes a smaller claim about model performance and a larger one about how performance on this benchmark should be measured, and we believe the second is the more useful contribution.</w:t>
      </w:r>
    </w:p>
    <w:p>
      <w:pPr>
        <w:spacing w:after="120" w:line="276"/>
      </w:pPr>
      <w:r>
        <w:rPr>
          <w:rFonts w:ascii="Calibri" w:cs="Calibri" w:eastAsia="Calibri" w:hAnsi="Calibri"/>
          <w:sz w:val="22"/>
          <w:szCs w:val="22"/>
        </w:rPr>
        <w:t xml:space="preserve">We would welcome the Editor’s guidance on the two questions raised at the head of this letter before the revision is assessed.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2026-09-01T14:21:49.233Z</dcterms:created>
  <dcterms:modified xsi:type="dcterms:W3CDTF">2026-09-01T14:21:49.233Z</dcterms:modified>
</cp:coreProperties>
</file>

<file path=docProps/custom.xml><?xml version="1.0" encoding="utf-8"?>
<Properties xmlns="http://schemas.openxmlformats.org/officeDocument/2006/custom-properties" xmlns:vt="http://schemas.openxmlformats.org/officeDocument/2006/docPropsVTypes"/>
</file>