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Методическое сопровождение разработки плана развития дошкольной организации Казахстана</w:t>
      </w:r>
    </w:p>
    <w:p>
      <w:r>
        <w:rPr>
          <w:b w:val="0"/>
        </w:rPr>
        <w:t>Практическое пособие для руководителя и методиста</w:t>
      </w:r>
    </w:p>
    <w:p>
      <w:r>
        <w:rPr>
          <w:b w:val="0"/>
        </w:rPr>
        <w:t>Назначение пособия — помочь наполнить план развития содержанием: обосновать выбор приоритетов, связать проблемы с задачами, определить действия и оценить изменения. Материал рассчитан на дошкольную организацию Республики Казахстан и используется при подготовке собственного документа.</w:t>
      </w:r>
    </w:p>
    <w:p>
      <w:pPr>
        <w:pStyle w:val="Heading2"/>
      </w:pPr>
      <w:r>
        <w:t>Как пользоваться пособием</w:t>
      </w:r>
    </w:p>
    <w:p>
      <w:r>
        <w:rPr>
          <w:b w:val="0"/>
        </w:rPr>
        <w:t>Сначала собрать исходные сведения, затем выделить проблемы и их причины. По результатам анализа выбрать приоритеты, описать желаемые изменения и составить план действий. Срок реализации, численные значения и состав исполнителей определяются по данным организации. Поля в квадратных скобках заполняются подтверждёнными сведениями.</w:t>
      </w:r>
    </w:p>
    <w:p>
      <w:r>
        <w:rPr>
          <w:b w:val="0"/>
        </w:rPr>
        <w:t>Предлагаемая структура, формы анализа, периодичность обсуждений и образцы формулировок являются методическими рекомендациями. Они не устанавливают единую обязательную форму плана развития и не заменяют действующие требования Казахстана.</w:t>
      </w:r>
    </w:p>
    <w:p>
      <w:pPr>
        <w:pStyle w:val="Heading2"/>
      </w:pPr>
      <w:r>
        <w:t>Логика наполнения плана</w:t>
      </w:r>
    </w:p>
    <w:p>
      <w:r>
        <w:rPr>
          <w:b/>
        </w:rPr>
        <w:t>Фактическое состояние → проблема и её причина → желаемый результат → цель и задачи → действия и ресурсы → показатели → анализ изменений и корректировка.</w:t>
      </w:r>
    </w:p>
    <w:p>
      <w:pPr>
        <w:pStyle w:val="Heading2"/>
      </w:pPr>
      <w:r>
        <w:t>Что извлечено из скана</w:t>
      </w:r>
    </w:p>
    <w:p>
      <w:r>
        <w:rPr>
          <w:b w:val="0"/>
        </w:rPr>
        <w:t>Прочитан весь предоставленный фрагмент: 6 страниц PDF, печатные страницы 74–79. В нём раскрыты информационная справка, проблемно ориентированный анализ, концепция развития, стратегия и задачи, план действий, формы изучения ситуации и критерии результата. Сохранена идея согласования воспитательно образовательной, научно методической и психолого педагогической работы.</w:t>
      </w:r>
    </w:p>
    <w:p>
      <w:r>
        <w:rPr>
          <w:b w:val="0"/>
        </w:rPr>
        <w:t>Заявка на экспериментальную площадку на странице 74 относится к российскому примеру и не включается в рекомендуемый состав плана. Таблица 22 на странице 79 представлена только началом; отсутствующее продолжение не восстанавливается. Автор и полное название издания по этим страницам не установлены.</w:t>
      </w:r>
    </w:p>
    <w:p>
      <w:r>
        <w:br w:type="page"/>
      </w:r>
    </w:p>
    <w:p>
      <w:pPr>
        <w:pStyle w:val="Heading1"/>
      </w:pPr>
      <w:r>
        <w:t>1 Адаптация к условиям Казахстана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/>
                <w:sz w:val="22"/>
              </w:rPr>
              <w:t>В исходном примере</w:t>
            </w:r>
          </w:p>
        </w:tc>
        <w:tc>
          <w:tcPr>
            <w:tcW w:type="dxa" w:w="6236"/>
          </w:tcPr>
          <w:p>
            <w:pPr>
              <w:spacing w:after="80" w:before="60"/>
            </w:pPr>
            <w:r>
              <w:rPr>
                <w:b/>
                <w:sz w:val="22"/>
              </w:rPr>
              <w:t>Как использовать в Казахстане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sz w:val="22"/>
              </w:rPr>
              <w:t>МДОУ и ДОУ города Славгорода</w:t>
            </w:r>
          </w:p>
        </w:tc>
        <w:tc>
          <w:tcPr>
            <w:tcW w:type="dxa" w:w="6236"/>
          </w:tcPr>
          <w:p>
            <w:pPr>
              <w:spacing w:after="80" w:before="60"/>
            </w:pPr>
            <w:r>
              <w:rPr>
                <w:sz w:val="22"/>
              </w:rPr>
              <w:t>Дошкольная организация; её полное наименование и форма берутся из собственных документов.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sz w:val="22"/>
              </w:rPr>
              <w:t>Программа «Родничок» и даты 2000–2002 годов</w:t>
            </w:r>
          </w:p>
        </w:tc>
        <w:tc>
          <w:tcPr>
            <w:tcW w:type="dxa" w:w="6236"/>
          </w:tcPr>
          <w:p>
            <w:pPr>
              <w:spacing w:after="80" w:before="60"/>
            </w:pPr>
            <w:r>
              <w:rPr>
                <w:sz w:val="22"/>
              </w:rPr>
              <w:t>Содержание соотносится с применимыми типовыми программами ДВиО; годы определяет организация.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sz w:val="22"/>
              </w:rPr>
              <w:t>Районный экспертный совет и статус экспериментальной площадки</w:t>
            </w:r>
          </w:p>
        </w:tc>
        <w:tc>
          <w:tcPr>
            <w:tcW w:type="dxa" w:w="6236"/>
          </w:tcPr>
          <w:p>
            <w:pPr>
              <w:spacing w:after="80" w:before="60"/>
            </w:pPr>
            <w:r>
              <w:rPr>
                <w:sz w:val="22"/>
              </w:rPr>
              <w:t>Для обычного плана развития не переносить эту процедуру. Если планируется отдельный эксперимент, предварительно выяснить применимый порядок.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sz w:val="22"/>
              </w:rPr>
              <w:t>Обобщённое упоминание государственного стандарта</w:t>
            </w:r>
          </w:p>
        </w:tc>
        <w:tc>
          <w:tcPr>
            <w:tcW w:type="dxa" w:w="6236"/>
          </w:tcPr>
          <w:p>
            <w:pPr>
              <w:spacing w:after="80" w:before="60"/>
            </w:pPr>
            <w:r>
              <w:rPr>
                <w:sz w:val="22"/>
              </w:rPr>
              <w:t>Использовать ГОСО дошкольного воспитания и обучения Казахстана и применимые типовые планы и программы.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sz w:val="22"/>
              </w:rPr>
              <w:t>Экспериментальная работа как направление развития</w:t>
            </w:r>
          </w:p>
        </w:tc>
        <w:tc>
          <w:tcPr>
            <w:tcW w:type="dxa" w:w="6236"/>
          </w:tcPr>
          <w:p>
            <w:pPr>
              <w:spacing w:after="80" w:before="60"/>
            </w:pPr>
            <w:r>
              <w:rPr>
                <w:sz w:val="22"/>
              </w:rPr>
              <w:t>Методическая апробация приёмов с наблюдением и анализом. Она сама по себе не означает официального статуса площадки.</w:t>
            </w:r>
          </w:p>
        </w:tc>
      </w:tr>
    </w:tbl>
    <w:p>
      <w:pPr>
        <w:pStyle w:val="Heading2"/>
      </w:pPr>
      <w:r>
        <w:t>Нормативные ориентиры</w:t>
      </w:r>
    </w:p>
    <w:p>
      <w:r>
        <w:rPr>
          <w:b w:val="0"/>
        </w:rPr>
        <w:t>ГОСО ДВиО, утверждённый приказом Министра просвещения РК от 3 августа 2022 года № 348, приложение 1: опора при определении требований к условиям и результатам дошкольного воспитания и обучения [1].</w:t>
      </w:r>
    </w:p>
    <w:p>
      <w:r>
        <w:rPr>
          <w:b w:val="0"/>
        </w:rPr>
        <w:t>Типовые учебные планы ДВиО РК, приказ Министра образования и науки РК от 20 декабря 2012 года № 557: проверка соответствия организации образовательной работы применимому плану [2].</w:t>
      </w:r>
    </w:p>
    <w:p>
      <w:r>
        <w:rPr>
          <w:b w:val="0"/>
        </w:rPr>
        <w:t>Типовые учебные программы ДВиО, приказ и.о. Министра образования и науки РК от 12 августа 2016 года № 499: содержательная опора; выбирать применимое приложение с учётом контингента [3].</w:t>
      </w:r>
    </w:p>
    <w:p>
      <w:r>
        <w:rPr>
          <w:b w:val="0"/>
        </w:rPr>
        <w:t>Концепция развития дошкольного, среднего, технического и профессионального образования РК на 2023–2029 годы, постановление Правительства РК от 28 марта 2023 года № 249: стратегический ориентир, а не готовый план конкретного детского сада [4].</w:t>
      </w:r>
    </w:p>
    <w:p>
      <w:r>
        <w:rPr>
          <w:b w:val="0"/>
        </w:rPr>
        <w:t>При подготовке окончательного документа использовать применимые редакции актов. Перечень выше — тематические ориентиры пособия, а не исчерпывающий список требований к деятельности организации.</w:t>
      </w:r>
    </w:p>
    <w:p>
      <w:r>
        <w:br w:type="page"/>
      </w:r>
    </w:p>
    <w:p>
      <w:pPr>
        <w:pStyle w:val="Heading1"/>
      </w:pPr>
      <w:r>
        <w:t>2 Структура и наполнение плана развития</w:t>
      </w:r>
    </w:p>
    <w:p>
      <w:r>
        <w:rPr>
          <w:b w:val="0"/>
        </w:rPr>
        <w:t>Разделы ниже развивают структуру, описанную на страницах 75–77 источника. Паспорт, ресурсы, риски и система показателей добавлены как рабочие инструменты для составителя.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6917"/>
      </w:tblGrid>
      <w:tr>
        <w:trPr>
          <w:tblHeader/>
          <w:cantSplit/>
        </w:trPr>
        <w:tc>
          <w:tcPr>
            <w:tcW w:type="dxa" w:w="2721"/>
          </w:tcPr>
          <w:p>
            <w:pPr>
              <w:spacing w:after="80" w:before="60"/>
            </w:pPr>
            <w:r>
              <w:rPr>
                <w:b/>
                <w:sz w:val="22"/>
              </w:rPr>
              <w:t>Раздел</w:t>
            </w:r>
          </w:p>
        </w:tc>
        <w:tc>
          <w:tcPr>
            <w:tcW w:type="dxa" w:w="6917"/>
          </w:tcPr>
          <w:p>
            <w:pPr>
              <w:spacing w:after="80" w:before="60"/>
            </w:pPr>
            <w:r>
              <w:rPr>
                <w:b/>
                <w:sz w:val="22"/>
              </w:rPr>
              <w:t>Что включить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80" w:before="60"/>
            </w:pPr>
            <w:r>
              <w:rPr>
                <w:sz w:val="22"/>
              </w:rPr>
              <w:t>Паспорт</w:t>
            </w:r>
          </w:p>
        </w:tc>
        <w:tc>
          <w:tcPr>
            <w:tcW w:type="dxa" w:w="6917"/>
          </w:tcPr>
          <w:p>
            <w:pPr>
              <w:spacing w:after="80" w:before="60"/>
            </w:pPr>
            <w:r>
              <w:rPr>
                <w:sz w:val="22"/>
              </w:rPr>
              <w:t>Наименование организации, период, разработчики по должностям, цель, приоритеты, этапы, порядок рассмотрения и утверждения по применимым документам.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80" w:before="60"/>
            </w:pPr>
            <w:r>
              <w:rPr>
                <w:sz w:val="22"/>
              </w:rPr>
              <w:t>Информационная справка</w:t>
            </w:r>
          </w:p>
        </w:tc>
        <w:tc>
          <w:tcPr>
            <w:tcW w:type="dxa" w:w="6917"/>
          </w:tcPr>
          <w:p>
            <w:pPr>
              <w:spacing w:after="80" w:before="60"/>
            </w:pPr>
            <w:r>
              <w:rPr>
                <w:sz w:val="22"/>
              </w:rPr>
              <w:t>Численность и возрастные группы детей, языки воспитания и обучения, режим, кадровые и методические ресурсы, особенности среды и партнёрств.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80" w:before="60"/>
            </w:pPr>
            <w:r>
              <w:rPr>
                <w:sz w:val="22"/>
              </w:rPr>
              <w:t>Анализ исходного состояния</w:t>
            </w:r>
          </w:p>
        </w:tc>
        <w:tc>
          <w:tcPr>
            <w:tcW w:type="dxa" w:w="6917"/>
          </w:tcPr>
          <w:p>
            <w:pPr>
              <w:spacing w:after="80" w:before="60"/>
            </w:pPr>
            <w:r>
              <w:rPr>
                <w:sz w:val="22"/>
              </w:rPr>
              <w:t>Результаты изучения работы, подтверждённые проблемы, причины, сильные стороны и ограничения. Вывод о приоритетах.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80" w:before="60"/>
            </w:pPr>
            <w:r>
              <w:rPr>
                <w:sz w:val="22"/>
              </w:rPr>
              <w:t>Концепция развития</w:t>
            </w:r>
          </w:p>
        </w:tc>
        <w:tc>
          <w:tcPr>
            <w:tcW w:type="dxa" w:w="6917"/>
          </w:tcPr>
          <w:p>
            <w:pPr>
              <w:spacing w:after="80" w:before="60"/>
            </w:pPr>
            <w:r>
              <w:rPr>
                <w:sz w:val="22"/>
              </w:rPr>
              <w:t>Миссия, желаемое состояние, принципы и особенности подхода к развитию детей, педагогов и взаимодействию с семьёй.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80" w:before="60"/>
            </w:pPr>
            <w:r>
              <w:rPr>
                <w:sz w:val="22"/>
              </w:rPr>
              <w:t>Цель и задачи</w:t>
            </w:r>
          </w:p>
        </w:tc>
        <w:tc>
          <w:tcPr>
            <w:tcW w:type="dxa" w:w="6917"/>
          </w:tcPr>
          <w:p>
            <w:pPr>
              <w:spacing w:after="80" w:before="60"/>
            </w:pPr>
            <w:r>
              <w:rPr>
                <w:sz w:val="22"/>
              </w:rPr>
              <w:t>Изменения, которых нужно достичь к завершению периода; связь каждой задачи с установленной проблемой.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80" w:before="60"/>
            </w:pPr>
            <w:r>
              <w:rPr>
                <w:sz w:val="22"/>
              </w:rPr>
              <w:t>Направления и план действий</w:t>
            </w:r>
          </w:p>
        </w:tc>
        <w:tc>
          <w:tcPr>
            <w:tcW w:type="dxa" w:w="6917"/>
          </w:tcPr>
          <w:p>
            <w:pPr>
              <w:spacing w:after="80" w:before="60"/>
            </w:pPr>
            <w:r>
              <w:rPr>
                <w:sz w:val="22"/>
              </w:rPr>
              <w:t>Конкретные действия, сроки, исполнители, необходимые ресурсы, продукты и ожидаемые изменения.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80" w:before="60"/>
            </w:pPr>
            <w:r>
              <w:rPr>
                <w:sz w:val="22"/>
              </w:rPr>
              <w:t>Ресурсы и риски</w:t>
            </w:r>
          </w:p>
        </w:tc>
        <w:tc>
          <w:tcPr>
            <w:tcW w:type="dxa" w:w="6917"/>
          </w:tcPr>
          <w:p>
            <w:pPr>
              <w:spacing w:after="80" w:before="60"/>
            </w:pPr>
            <w:r>
              <w:rPr>
                <w:sz w:val="22"/>
              </w:rPr>
              <w:t>Что уже имеется, чего недостаёт, от чего зависит реализация, какие решения возможны при затруднениях.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80" w:before="60"/>
            </w:pPr>
            <w:r>
              <w:rPr>
                <w:sz w:val="22"/>
              </w:rPr>
              <w:t>Показатели и мониторинг</w:t>
            </w:r>
          </w:p>
        </w:tc>
        <w:tc>
          <w:tcPr>
            <w:tcW w:type="dxa" w:w="6917"/>
          </w:tcPr>
          <w:p>
            <w:pPr>
              <w:spacing w:after="80" w:before="60"/>
            </w:pPr>
            <w:r>
              <w:rPr>
                <w:sz w:val="22"/>
              </w:rPr>
              <w:t>Исходные и целевые значения, способ проверки, периодичность, ответственный за сбор данных и порядок корректировки.</w:t>
            </w:r>
          </w:p>
        </w:tc>
      </w:tr>
    </w:tbl>
    <w:p>
      <w:pPr>
        <w:pStyle w:val="Heading2"/>
      </w:pPr>
      <w:r>
        <w:t>Разграничение документов</w:t>
      </w:r>
    </w:p>
    <w:p>
      <w:r>
        <w:rPr>
          <w:b w:val="0"/>
        </w:rPr>
        <w:t>План развития описывает изменения организации за выбранный период. Годовой план определяет, какую часть этих изменений выполнить в конкретном году. Планы педагогов раскрывают работу с детьми. Методическое сопровождение связывает эти уровни: помогает педагогам освоить подходы, применить их и оценить результат.</w:t>
      </w:r>
    </w:p>
    <w:p>
      <w:r>
        <w:rPr>
          <w:b w:val="0"/>
        </w:rPr>
        <w:t>В план развития включаются мероприятия, которые ведут к выбранным изменениям. Повторяющиеся обязанности и календарные праздники не должны вытеснять задачи развития.</w:t>
      </w:r>
    </w:p>
    <w:p>
      <w:r>
        <w:br w:type="page"/>
      </w:r>
    </w:p>
    <w:p>
      <w:pPr>
        <w:pStyle w:val="Heading1"/>
      </w:pPr>
      <w:r>
        <w:t>3 Какие исходные данные собрать</w:t>
      </w:r>
    </w:p>
    <w:p>
      <w:r>
        <w:rPr>
          <w:b w:val="0"/>
        </w:rPr>
        <w:t>В источнике информационная справка объединяет сведения о детях, педагогах, программах, методической работе, здоровье, управлении и связях с социумом. Для плана развития данные отбираются по их значению для решений, а не ради объёма.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tblHeader/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b/>
                <w:sz w:val="22"/>
              </w:rPr>
              <w:t>Блок данных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b/>
                <w:sz w:val="22"/>
              </w:rPr>
              <w:t>Что выяснить и чем подтвердить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Дети и группы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Проектная и фактическая численность, возрастные группы, посещаемость, языки воспитания и обучения; сводные организационные сведения.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Образовательная работа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Какие программы применяются, как обеспечиваются игра, общение, движение, творчество и самостоятельность; анализ планирования и наблюдение.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Кадровые ресурсы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Квалификация, профессиональные затруднения, потребность в наставничестве и обучении; сводные кадровые данные и самооценка педагогов.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Методическая работа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Какие формы поддержки действуют и что изменилось после них; планы, продукты педагогов, материалы обсуждений и повторных наблюдений.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Развивающая среда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Доступность материалов, возможность выбора, безопасность и участие разных детей; обход групп с едиными критериями.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Благополучие и поддержка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Адаптация, эмоциональный комфорт, доступность участия, потребность в согласованных действиях специалистов; обезличенные наблюдения.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Семья и партнёры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Запросы родителей, доступные формы взаимодействия, реальные возможности школы и методических партнёров; опросы и подтверждённые договорённости.</w:t>
            </w:r>
          </w:p>
        </w:tc>
      </w:tr>
    </w:tbl>
    <w:p>
      <w:pPr>
        <w:pStyle w:val="Heading2"/>
      </w:pPr>
      <w:r>
        <w:t>Правила сбора</w:t>
      </w:r>
    </w:p>
    <w:p>
      <w:r>
        <w:rPr>
          <w:b w:val="0"/>
        </w:rPr>
        <w:t>У каждого показателя указывать период и источник. Для сравнения использовать одинаковые критерии и сопоставимые группы. Отдельно отмечать факт, мнение участника и предположение составителя. Отсутствующие данные обозначать: [указать источник и срок уточнения].</w:t>
      </w:r>
    </w:p>
    <w:p>
      <w:r>
        <w:rPr>
          <w:b w:val="0"/>
        </w:rPr>
        <w:t>Сведения о здоровье использовать только в необходимом обобщённом виде; медицинские выводы не подменять педагогическим наблюдением. Национальный состав семей из российского примера не переносить автоматически: для методических решений описывать языковые потребности и доступность взаимодействия. Индивидуальные сведения о детях и семьях в общий план не включать.</w:t>
      </w:r>
    </w:p>
    <w:p>
      <w:r>
        <w:br w:type="page"/>
      </w:r>
    </w:p>
    <w:p>
      <w:pPr>
        <w:pStyle w:val="Heading1"/>
      </w:pPr>
      <w:r>
        <w:t>4 Проблемно ориентированный анализ</w:t>
      </w:r>
    </w:p>
    <w:p>
      <w:r>
        <w:rPr>
          <w:b w:val="0"/>
        </w:rPr>
        <w:t>На страницах 76–77 источника показана последовательность: данные о работе → анализ состояния → проблемы и противоречия → цели и задачи → действия. Главный результат анализа — объяснение, что необходимо изменить и почему это изменение выбрано первым.</w:t>
      </w:r>
    </w:p>
    <w:p>
      <w:pPr>
        <w:pStyle w:val="Heading2"/>
      </w:pPr>
      <w:r>
        <w:t>Порядок работы</w:t>
      </w:r>
    </w:p>
    <w:p>
      <w:r>
        <w:rPr>
          <w:b w:val="0"/>
        </w:rPr>
        <w:t>1. Сопоставить желаемое качество работы с наблюдаемым состоянием. Описывать конкретный разрыв: где, у кого и в чём он проявляется.</w:t>
      </w:r>
    </w:p>
    <w:p>
      <w:r>
        <w:rPr>
          <w:b w:val="0"/>
        </w:rPr>
        <w:t>2. Подтвердить разрыв несколькими видами свидетельств: например, наблюдением, анализом планирования и обратной связью. Опрос сам по себе не доказывает качество образовательной практики.</w:t>
      </w:r>
    </w:p>
    <w:p>
      <w:r>
        <w:rPr>
          <w:b w:val="0"/>
        </w:rPr>
        <w:t>3. Выдвинуть и проверить причины. Недостаток материалов, неясные критерии и отсутствие практического сопровождения требуют разных решений.</w:t>
      </w:r>
    </w:p>
    <w:p>
      <w:r>
        <w:rPr>
          <w:b w:val="0"/>
        </w:rPr>
        <w:t>4. Выбрать управляемые причины. Оценить значимость для детей, срочность, наличие ресурсов и возможность получить проверяемый результат.</w:t>
      </w:r>
    </w:p>
    <w:p>
      <w:pPr>
        <w:pStyle w:val="Heading2"/>
      </w:pPr>
      <w:r>
        <w:t>Рабочая карта проблемы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370"/>
          </w:tcPr>
          <w:p>
            <w:pPr>
              <w:spacing w:after="80" w:before="60"/>
            </w:pPr>
            <w:r>
              <w:rPr>
                <w:b/>
                <w:sz w:val="22"/>
              </w:rPr>
              <w:t>Содержание для заполнения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sz w:val="22"/>
              </w:rPr>
              <w:t>Факт</w:t>
            </w:r>
          </w:p>
        </w:tc>
        <w:tc>
          <w:tcPr>
            <w:tcW w:type="dxa" w:w="7370"/>
          </w:tcPr>
          <w:p>
            <w:pPr>
              <w:spacing w:after="80" w:before="60"/>
            </w:pPr>
            <w:r>
              <w:rPr>
                <w:sz w:val="22"/>
              </w:rPr>
              <w:t>По [источник, период] выявлено [наблюдаемое состояние].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sz w:val="22"/>
              </w:rPr>
              <w:t>Проблема</w:t>
            </w:r>
          </w:p>
        </w:tc>
        <w:tc>
          <w:tcPr>
            <w:tcW w:type="dxa" w:w="7370"/>
          </w:tcPr>
          <w:p>
            <w:pPr>
              <w:spacing w:after="80" w:before="60"/>
            </w:pPr>
            <w:r>
              <w:rPr>
                <w:sz w:val="22"/>
              </w:rPr>
              <w:t>Имеющееся состояние затрудняет [конкретный аспект качества].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sz w:val="22"/>
              </w:rPr>
              <w:t>Причина</w:t>
            </w:r>
          </w:p>
        </w:tc>
        <w:tc>
          <w:tcPr>
            <w:tcW w:type="dxa" w:w="7370"/>
          </w:tcPr>
          <w:p>
            <w:pPr>
              <w:spacing w:after="80" w:before="60"/>
            </w:pPr>
            <w:r>
              <w:rPr>
                <w:sz w:val="22"/>
              </w:rPr>
              <w:t>Предполагаемая причина [указать]; подтверждение [данные] либо способ проверки.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sz w:val="22"/>
              </w:rPr>
              <w:t>Ресурс</w:t>
            </w:r>
          </w:p>
        </w:tc>
        <w:tc>
          <w:tcPr>
            <w:tcW w:type="dxa" w:w="7370"/>
          </w:tcPr>
          <w:p>
            <w:pPr>
              <w:spacing w:after="80" w:before="60"/>
            </w:pPr>
            <w:r>
              <w:rPr>
                <w:sz w:val="22"/>
              </w:rPr>
              <w:t>Можно опереться на [компетенции, материалы, время, партнёрство].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sz w:val="22"/>
              </w:rPr>
              <w:t>Решение</w:t>
            </w:r>
          </w:p>
        </w:tc>
        <w:tc>
          <w:tcPr>
            <w:tcW w:type="dxa" w:w="7370"/>
          </w:tcPr>
          <w:p>
            <w:pPr>
              <w:spacing w:after="80" w:before="60"/>
            </w:pPr>
            <w:r>
              <w:rPr>
                <w:sz w:val="22"/>
              </w:rPr>
              <w:t>Изменить [практику или условие], организовав [сопровождение].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sz w:val="22"/>
              </w:rPr>
              <w:t>Проверка</w:t>
            </w:r>
          </w:p>
        </w:tc>
        <w:tc>
          <w:tcPr>
            <w:tcW w:type="dxa" w:w="7370"/>
          </w:tcPr>
          <w:p>
            <w:pPr>
              <w:spacing w:after="80" w:before="60"/>
            </w:pPr>
            <w:r>
              <w:rPr>
                <w:sz w:val="22"/>
              </w:rPr>
              <w:t>Изменение будет видно по [показатель и источник].</w:t>
            </w:r>
          </w:p>
        </w:tc>
      </w:tr>
    </w:tbl>
    <w:p>
      <w:pPr>
        <w:pStyle w:val="Heading2"/>
      </w:pPr>
      <w:r>
        <w:t>Пример логики анализа</w:t>
      </w:r>
    </w:p>
    <w:p>
      <w:r>
        <w:rPr>
          <w:b w:val="0"/>
        </w:rPr>
        <w:t>Если наблюдения подтверждают, что детям редко предоставляется выбор материалов, а педагоги испытывают трудности в организации самостоятельной игры, задача состоит в изменении практики. Возможное решение: совместно разработать варианты организации игры, провести пробное применение и повторное наблюдение. Проведение семинара — действие; расширение возможностей выбора для детей — ожидаемый результат. Это пример, а не установленная проблема конкретного детского сада.</w:t>
      </w:r>
    </w:p>
    <w:p>
      <w:r>
        <w:br w:type="page"/>
      </w:r>
    </w:p>
    <w:p>
      <w:pPr>
        <w:pStyle w:val="Heading1"/>
      </w:pPr>
      <w:r>
        <w:t>5 SWOT и выбор приоритетов</w:t>
      </w:r>
    </w:p>
    <w:p>
      <w:r>
        <w:rPr>
          <w:b w:val="0"/>
        </w:rPr>
        <w:t>SWOT можно использовать как дополнительный способ обобщения анализа. В представленном фрагменте этот инструмент не назван; он не заменяет доказательное описание проблем.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80" w:before="60"/>
            </w:pPr>
            <w:r>
              <w:rPr>
                <w:b/>
                <w:sz w:val="22"/>
              </w:rPr>
              <w:t>Внутренние факторы</w:t>
            </w:r>
          </w:p>
        </w:tc>
        <w:tc>
          <w:tcPr>
            <w:tcW w:type="dxa" w:w="4819"/>
          </w:tcPr>
          <w:p>
            <w:pPr>
              <w:spacing w:after="80" w:before="60"/>
            </w:pPr>
            <w:r>
              <w:rPr>
                <w:b/>
                <w:sz w:val="22"/>
              </w:rPr>
              <w:t>Внешние факторы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/>
            </w:pPr>
            <w:r>
              <w:rPr>
                <w:sz w:val="22"/>
              </w:rPr>
              <w:t>Сильные стороны: подтверждённые компетенции педагогов, действующее наставничество, удачные практики, доступные материалы.</w:t>
            </w:r>
          </w:p>
        </w:tc>
        <w:tc>
          <w:tcPr>
            <w:tcW w:type="dxa" w:w="4819"/>
          </w:tcPr>
          <w:p>
            <w:pPr>
              <w:spacing w:after="80" w:before="60"/>
            </w:pPr>
            <w:r>
              <w:rPr>
                <w:sz w:val="22"/>
              </w:rPr>
              <w:t>Возможности: доступное методическое сообщество, курсы по выявленному запросу, сотрудничество со школой или колледжем по согласованию.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before="60"/>
            </w:pPr>
            <w:r>
              <w:rPr>
                <w:sz w:val="22"/>
              </w:rPr>
              <w:t>Слабые стороны: выявленные затруднения в планировании, недостаток сопровождения, ограниченная доступность материалов, перегрузка педагогов.</w:t>
            </w:r>
          </w:p>
        </w:tc>
        <w:tc>
          <w:tcPr>
            <w:tcW w:type="dxa" w:w="4819"/>
          </w:tcPr>
          <w:p>
            <w:pPr>
              <w:spacing w:after="80" w:before="60"/>
            </w:pPr>
            <w:r>
              <w:rPr>
                <w:sz w:val="22"/>
              </w:rPr>
              <w:t>Угрозы: кадровая нестабильность, недоступность внешнего обучения, изменение условий финансирования или состава групп.</w:t>
            </w:r>
          </w:p>
        </w:tc>
      </w:tr>
    </w:tbl>
    <w:p>
      <w:pPr>
        <w:pStyle w:val="Heading2"/>
      </w:pPr>
      <w:r>
        <w:t>Как перейти от списка факторов к решению</w:t>
      </w:r>
    </w:p>
    <w:p>
      <w:r>
        <w:rPr>
          <w:b w:val="0"/>
        </w:rPr>
        <w:t>Сопоставить сильные стороны с возможностями: какую удачную практику можно распространить? Сопоставить слабые стороны с ресурсами: какое затруднение реально устранить? Для внешних рисков определить запасной вариант действий. Включать только факторы, подтверждённые данными или обозначенные как вероятные риски.</w:t>
      </w:r>
    </w:p>
    <w:p>
      <w:r>
        <w:rPr>
          <w:b w:val="0"/>
        </w:rPr>
        <w:t>Рекомендуется выбрать ограниченное число приоритетов, например 3–5, чтобы каждый получил исполнителя, время, ресурсы и измеримый результат. Это методический ориентир; количество определяется масштабом организации и периодом плана.</w:t>
      </w:r>
    </w:p>
    <w:p>
      <w:pPr>
        <w:pStyle w:val="Heading2"/>
      </w:pPr>
      <w:r>
        <w:t>Варианты приоритетов для обсуждения</w:t>
      </w:r>
    </w:p>
    <w:p>
      <w:r>
        <w:rPr>
          <w:b w:val="0"/>
        </w:rPr>
        <w:t>Качество игровой и самостоятельной деятельности; развитие коммуникативных навыков и языковой среды; профессиональная поддержка педагогов; доступная развивающая среда; партнёрство с семьёй; адаптация и эмоциональное благополучие; преемственность с начальной школой.</w:t>
      </w:r>
    </w:p>
    <w:p>
      <w:r>
        <w:rPr>
          <w:b w:val="0"/>
        </w:rPr>
        <w:t>Для Казахстана содержание игр, чтения и творческой деятельности можно наполнять материалами о культуре, природе и традициях страны с учётом возраста, языка воспитания и обучения, разнообразия семей и применимой программы. Такой материал должен работать на развитие ребёнка, а не сводиться к перечню праздников.</w:t>
      </w:r>
    </w:p>
    <w:p>
      <w:pPr>
        <w:pStyle w:val="Heading2"/>
      </w:pPr>
      <w:r>
        <w:t>Формула обоснования приоритета</w:t>
      </w:r>
    </w:p>
    <w:p>
      <w:r>
        <w:rPr>
          <w:b w:val="0"/>
        </w:rPr>
        <w:t>«Приоритет [название] выбран, поскольку [данные] показывают [проблему]. Организация располагает [ресурс]. Изменение [практики] позволит получить [результат для детей, педагогов или семей]».</w:t>
      </w:r>
    </w:p>
    <w:p>
      <w:r>
        <w:br w:type="page"/>
      </w:r>
    </w:p>
    <w:p>
      <w:pPr>
        <w:pStyle w:val="Heading1"/>
      </w:pPr>
      <w:r>
        <w:t>6 Концепция цель и задачи</w:t>
      </w:r>
    </w:p>
    <w:p>
      <w:r>
        <w:rPr>
          <w:b w:val="0"/>
        </w:rPr>
        <w:t>В источнике концепция включает общие положения, ближайшие цели и перспективы, пути достижения целей и принципы. При наполнении плана важно показать, каким станет детский сад и за счёт каких изменений это произойдёт.</w:t>
      </w:r>
    </w:p>
    <w:p>
      <w:pPr>
        <w:pStyle w:val="Heading2"/>
      </w:pPr>
      <w:r>
        <w:t>Миссия и желаемое состояние</w:t>
      </w:r>
    </w:p>
    <w:p>
      <w:r>
        <w:rPr>
          <w:b w:val="0"/>
        </w:rPr>
        <w:t>Вариант миссии для адаптации: «Создавать условия, в которых каждый ребёнок чувствует себя в безопасности, проявляет инициативу, общается, играет и развивается при поддержке педагогов и семьи». Дополнить особенностями организации, если они подтверждены практикой.</w:t>
      </w:r>
    </w:p>
    <w:p>
      <w:r>
        <w:rPr>
          <w:b w:val="0"/>
        </w:rPr>
        <w:t>Желаемое состояние описать через наблюдаемые признаки: дети имеют доступ к разнообразной деятельности; педагоги используют согласованные подходы и получают адресную помощь; родители понимают способы участия; решения о развитии опираются на анализ результатов.</w:t>
      </w:r>
    </w:p>
    <w:p>
      <w:pPr>
        <w:pStyle w:val="Heading2"/>
      </w:pPr>
      <w:r>
        <w:t>Принципы</w:t>
      </w:r>
    </w:p>
    <w:p>
      <w:r>
        <w:rPr>
          <w:b w:val="0"/>
        </w:rPr>
        <w:t>Сохранить из источника уважение индивидуальности ребёнка, приоритет личностного развития, учёт ближайших возможностей развития, активную позицию ребёнка и эмоционально положительное взаимодействие. Для применения в Казахстане связать их с возрастной уместностью, доступностью участия, языковыми потребностями и культурным контекстом семей.</w:t>
      </w:r>
    </w:p>
    <w:p>
      <w:pPr>
        <w:pStyle w:val="Heading2"/>
      </w:pPr>
      <w:r>
        <w:t>Образец цели</w:t>
      </w:r>
    </w:p>
    <w:p>
      <w:r>
        <w:rPr>
          <w:b w:val="0"/>
        </w:rPr>
        <w:t>«К [дата] повысить качество [выбранного аспекта] в [наименование организации] посредством совершенствования [практик и условий], обеспечив достижение согласованных показателей [перечень]». Цель уточняется после анализа; формулировка «повысить качество образования» без признаков изменения недостаточна.</w:t>
      </w:r>
    </w:p>
    <w:p>
      <w:pPr>
        <w:pStyle w:val="Heading2"/>
      </w:pPr>
      <w:r>
        <w:t>Как формулировать задачи</w:t>
      </w:r>
    </w:p>
    <w:p>
      <w:r>
        <w:rPr>
          <w:b w:val="0"/>
        </w:rPr>
        <w:t>Каждая задача описывает одно изменение, а не отдельное мероприятие. Например: «Обеспечить применение педагогами согласованных приёмов поддержки самостоятельной игры»; «Повысить доступность материалов для разных детей»; «Создать систему обратной связи с семьями и использования её результатов».</w:t>
      </w:r>
    </w:p>
    <w:p>
      <w:r>
        <w:rPr>
          <w:b w:val="0"/>
        </w:rPr>
        <w:t>Связь должна быть прослеживаемой: проблема П1 → задача З1 → действия Д1–Д3 → показатель И1. Если действие не связано ни с одной задачей, проверить его необходимость в плане развития.</w:t>
      </w:r>
    </w:p>
    <w:p>
      <w:r>
        <w:br w:type="page"/>
      </w:r>
    </w:p>
    <w:p>
      <w:pPr>
        <w:pStyle w:val="Heading1"/>
      </w:pPr>
      <w:r>
        <w:t>7 Содержание методического сопровождения</w:t>
      </w:r>
    </w:p>
    <w:p>
      <w:r>
        <w:rPr>
          <w:b w:val="0"/>
        </w:rPr>
        <w:t>На страницах 77–78 источника предложены творческие микрогруппы, работа с молодыми педагогами, методические совещания, повышение квалификации, сотрудничество с вузами и распространение опыта. Эти формы целесообразно объединить в цикл поддержки конкретной практики.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</w:tcPr>
          <w:p>
            <w:pPr>
              <w:spacing w:after="80" w:before="60"/>
            </w:pPr>
            <w:r>
              <w:rPr>
                <w:b/>
                <w:sz w:val="22"/>
              </w:rPr>
              <w:t>Направление</w:t>
            </w:r>
          </w:p>
        </w:tc>
        <w:tc>
          <w:tcPr>
            <w:tcW w:type="dxa" w:w="7087"/>
          </w:tcPr>
          <w:p>
            <w:pPr>
              <w:spacing w:after="80" w:before="60"/>
            </w:pPr>
            <w:r>
              <w:rPr>
                <w:b/>
                <w:sz w:val="22"/>
              </w:rPr>
              <w:t>Содержание и полезный продукт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 w:before="60"/>
            </w:pPr>
            <w:r>
              <w:rPr>
                <w:sz w:val="22"/>
              </w:rPr>
              <w:t>Изучение затруднений</w:t>
            </w:r>
          </w:p>
        </w:tc>
        <w:tc>
          <w:tcPr>
            <w:tcW w:type="dxa" w:w="7087"/>
          </w:tcPr>
          <w:p>
            <w:pPr>
              <w:spacing w:after="80" w:before="60"/>
            </w:pPr>
            <w:r>
              <w:rPr>
                <w:sz w:val="22"/>
              </w:rPr>
              <w:t>Самооценка, беседа, наблюдение и анализ материалов. Продукт: карта профессиональных запросов без публичного ранжирования педагогов.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 w:before="60"/>
            </w:pPr>
            <w:r>
              <w:rPr>
                <w:sz w:val="22"/>
              </w:rPr>
              <w:t>Адресная поддержка</w:t>
            </w:r>
          </w:p>
        </w:tc>
        <w:tc>
          <w:tcPr>
            <w:tcW w:type="dxa" w:w="7087"/>
          </w:tcPr>
          <w:p>
            <w:pPr>
              <w:spacing w:after="80" w:before="60"/>
            </w:pPr>
            <w:r>
              <w:rPr>
                <w:sz w:val="22"/>
              </w:rPr>
              <w:t>Короткая консультация по конкретной ситуации, совместное планирование, подбор примеров. Продукт: решение, которое педагог может применить в группе.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 w:before="60"/>
            </w:pPr>
            <w:r>
              <w:rPr>
                <w:sz w:val="22"/>
              </w:rPr>
              <w:t>Наставничество</w:t>
            </w:r>
          </w:p>
        </w:tc>
        <w:tc>
          <w:tcPr>
            <w:tcW w:type="dxa" w:w="7087"/>
          </w:tcPr>
          <w:p>
            <w:pPr>
              <w:spacing w:after="80" w:before="60"/>
            </w:pPr>
            <w:r>
              <w:rPr>
                <w:sz w:val="22"/>
              </w:rPr>
              <w:t>Показ приёма, совместное проведение, наблюдение и обсуждение. Продукт: освоенный способ действия и рекомендации к повторному применению.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 w:before="60"/>
            </w:pPr>
            <w:r>
              <w:rPr>
                <w:sz w:val="22"/>
              </w:rPr>
              <w:t>Творческие группы</w:t>
            </w:r>
          </w:p>
        </w:tc>
        <w:tc>
          <w:tcPr>
            <w:tcW w:type="dxa" w:w="7087"/>
          </w:tcPr>
          <w:p>
            <w:pPr>
              <w:spacing w:after="80" w:before="60"/>
            </w:pPr>
            <w:r>
              <w:rPr>
                <w:sz w:val="22"/>
              </w:rPr>
              <w:t>Разработка и проверка игровых материалов, подходов к среде, поддержке речи и взаимодействию с семьёй. Продукт: материалы с описанием условий применения.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 w:before="60"/>
            </w:pPr>
            <w:r>
              <w:rPr>
                <w:sz w:val="22"/>
              </w:rPr>
              <w:t>Практикумы и обучение</w:t>
            </w:r>
          </w:p>
        </w:tc>
        <w:tc>
          <w:tcPr>
            <w:tcW w:type="dxa" w:w="7087"/>
          </w:tcPr>
          <w:p>
            <w:pPr>
              <w:spacing w:after="80" w:before="60"/>
            </w:pPr>
            <w:r>
              <w:rPr>
                <w:sz w:val="22"/>
              </w:rPr>
              <w:t>Выбор темы по установленной потребности; после обучения — применение, обратная связь и уточнение. Продукт: изменение практики, а не только сертификат.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 w:before="60"/>
            </w:pPr>
            <w:r>
              <w:rPr>
                <w:sz w:val="22"/>
              </w:rPr>
              <w:t>Обмен опытом</w:t>
            </w:r>
          </w:p>
        </w:tc>
        <w:tc>
          <w:tcPr>
            <w:tcW w:type="dxa" w:w="7087"/>
          </w:tcPr>
          <w:p>
            <w:pPr>
              <w:spacing w:after="80" w:before="60"/>
            </w:pPr>
            <w:r>
              <w:rPr>
                <w:sz w:val="22"/>
              </w:rPr>
              <w:t>Взаимопосещения, разбор случаев, обсуждение детской инициативы и трудностей. Продукт: согласованные выводы и действия.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 w:before="60"/>
            </w:pPr>
            <w:r>
              <w:rPr>
                <w:sz w:val="22"/>
              </w:rPr>
              <w:t>Методические партнёрства</w:t>
            </w:r>
          </w:p>
        </w:tc>
        <w:tc>
          <w:tcPr>
            <w:tcW w:type="dxa" w:w="7087"/>
          </w:tcPr>
          <w:p>
            <w:pPr>
              <w:spacing w:after="80" w:before="60"/>
            </w:pPr>
            <w:r>
              <w:rPr>
                <w:sz w:val="22"/>
              </w:rPr>
              <w:t>Работа с районным или городским методическим кабинетом, школой, колледжем или вузом при наличии договорённости. Продукт: конкретная консультация, совместная разработка или обсуждение.</w:t>
            </w:r>
          </w:p>
        </w:tc>
      </w:tr>
    </w:tbl>
    <w:p>
      <w:pPr>
        <w:pStyle w:val="Heading2"/>
      </w:pPr>
      <w:r>
        <w:t>Цикл сопровождения</w:t>
      </w:r>
    </w:p>
    <w:p>
      <w:r>
        <w:rPr>
          <w:b w:val="0"/>
        </w:rPr>
        <w:t>Запрос → совместный выбор приёма → показ или разработка → применение в группе → наблюдение → обратная связь → повторное применение. Методист помогает связать действия педагога с участием и благополучием детей.</w:t>
      </w:r>
    </w:p>
    <w:p>
      <w:r>
        <w:rPr>
          <w:b w:val="0"/>
        </w:rPr>
        <w:t>Результативность сопровождения проверяется по тому, что педагог стал делать иначе и что это изменило для детей. Число заседаний, публикаций и открытых показов учитывается как объём работы, но не подменяет оценку её качества.</w:t>
      </w:r>
    </w:p>
    <w:p>
      <w:r>
        <w:br w:type="page"/>
      </w:r>
    </w:p>
    <w:p>
      <w:pPr>
        <w:pStyle w:val="Heading1"/>
      </w:pPr>
      <w:r>
        <w:t>8 Направления развития и ожидаемые изменения</w:t>
      </w:r>
    </w:p>
    <w:p>
      <w:r>
        <w:rPr>
          <w:b w:val="0"/>
        </w:rPr>
        <w:t>Ниже приведён банк содержания для выбора. В собственный план включаются только направления, подтверждённые анализом. По каждому направлению можно оформить отдельный проект или группу взаимосвязанных действий.</w:t>
      </w:r>
    </w:p>
    <w:p>
      <w:pPr>
        <w:pStyle w:val="Heading2"/>
      </w:pPr>
      <w:r>
        <w:t>Игровая деятельность и развитие детей</w:t>
      </w:r>
    </w:p>
    <w:p>
      <w:r>
        <w:rPr>
          <w:b w:val="0"/>
        </w:rPr>
        <w:t>Методическая задача: помочь педагогам организовывать игру, исследование, общение, творчество и движение с учётом возраста. Действия: совместное планирование, обсуждение наблюдений, подбор материалов, апробация и взаимопосещение. Ожидаемое изменение: дети получают больше возможностей выбирать, взаимодействовать и действовать самостоятельно.</w:t>
      </w:r>
    </w:p>
    <w:p>
      <w:pPr>
        <w:pStyle w:val="Heading2"/>
      </w:pPr>
      <w:r>
        <w:t>Коммуникация и языковая среда</w:t>
      </w:r>
    </w:p>
    <w:p>
      <w:r>
        <w:rPr>
          <w:b w:val="0"/>
        </w:rPr>
        <w:t>Методическая задача: поддержать содержательное общение в течение дня с учётом языка воспитания и обучения и потребностей детей. Действия: анализ речевого взаимодействия, подбор книг и игр, моделирование вопросов и диалогов, обсуждение поддержки казахского языка в применимых условиях. Результат: педагог использует доступные детям способы вовлечения в общение.</w:t>
      </w:r>
    </w:p>
    <w:p>
      <w:pPr>
        <w:pStyle w:val="Heading2"/>
      </w:pPr>
      <w:r>
        <w:t>Развивающая среда и доступность участия</w:t>
      </w:r>
    </w:p>
    <w:p>
      <w:r>
        <w:rPr>
          <w:b w:val="0"/>
        </w:rPr>
        <w:t>Методическая задача: сделать материалы доступными и обеспечить разные способы участия. Действия: обследование среды, перестановка доступными средствами, адаптация инструкций и материалов, согласование помощи со специалистами. Результат: выявленные барьеры уменьшаются; материалы используются детьми в реальной деятельности.</w:t>
      </w:r>
    </w:p>
    <w:p>
      <w:pPr>
        <w:pStyle w:val="Heading2"/>
      </w:pPr>
      <w:r>
        <w:t>Семья и эмоциональное благополучие</w:t>
      </w:r>
    </w:p>
    <w:p>
      <w:r>
        <w:rPr>
          <w:b w:val="0"/>
        </w:rPr>
        <w:t>Методическая задача: согласовать поддержку ребёнка в период адаптации и повседневной жизни. Действия: консультации по запросам семей, понятная обратная связь, обсуждение сложных ситуаций, рекомендации педагогам по уважительному общению. Результат: семья понимает действия организации и способы совместной поддержки ребёнка.</w:t>
      </w:r>
    </w:p>
    <w:p>
      <w:pPr>
        <w:pStyle w:val="Heading2"/>
      </w:pPr>
      <w:r>
        <w:t>Преемственность со школой</w:t>
      </w:r>
    </w:p>
    <w:p>
      <w:r>
        <w:rPr>
          <w:b w:val="0"/>
        </w:rPr>
        <w:t>Методическая задача: согласовать представления о готовности ребёнка к переходу в школу. Действия: встречи педагогов по договорённости, обсуждение самостоятельности, общения и саморегуляции, рекомендации семьям. Результат: переход поддерживается без подмены дошкольной деятельности школьными уроками.</w:t>
      </w:r>
    </w:p>
    <w:p>
      <w:r>
        <w:br w:type="page"/>
      </w:r>
    </w:p>
    <w:p>
      <w:pPr>
        <w:pStyle w:val="Heading1"/>
      </w:pPr>
      <w:r>
        <w:t>9 Как составить план действий</w:t>
      </w:r>
    </w:p>
    <w:p>
      <w:r>
        <w:rPr>
          <w:b w:val="0"/>
        </w:rPr>
        <w:t>Для каждой задачи описать последовательность шагов: подготовка, освоение, применение, проверка и закрепление. Сначала определить ожидаемое изменение, затем выбрать подходящие формы методической работы.</w:t>
      </w:r>
    </w:p>
    <w:p>
      <w:pPr>
        <w:pStyle w:val="Heading2"/>
      </w:pPr>
      <w:r>
        <w:t>Карточка действия для заполнения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tblHeader/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b/>
                <w:sz w:val="22"/>
              </w:rPr>
              <w:t>Что записать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Задача и проблема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[З1 и П1] — для чего выполняется действие.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Содержание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[кто и что делает]; результат должен быть понятен исполнителю.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Срок и этап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[начало, завершение, при необходимости промежуточная проверка].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Исполнители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[ответственная должность] и [участники]; учитывать фактический состав работников.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Ресурсы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[рабочее время, материалы, обучение, помощь партнёра]; источник обеспечения.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Продукт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[карта наблюдения, комплект материалов, консультация, изменение среды].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22"/>
              </w:rPr>
              <w:t>Результат и проверка</w:t>
            </w:r>
          </w:p>
        </w:tc>
        <w:tc>
          <w:tcPr>
            <w:tcW w:type="dxa" w:w="7257"/>
          </w:tcPr>
          <w:p>
            <w:pPr>
              <w:spacing w:after="80" w:before="60"/>
            </w:pPr>
            <w:r>
              <w:rPr>
                <w:sz w:val="22"/>
              </w:rPr>
              <w:t>[какая практика изменилась]; [показатель, источник, дата проверки].</w:t>
            </w:r>
          </w:p>
        </w:tc>
      </w:tr>
    </w:tbl>
    <w:p>
      <w:pPr>
        <w:pStyle w:val="Heading2"/>
      </w:pPr>
      <w:r>
        <w:t>Пример последовательности по одной задаче</w:t>
      </w:r>
    </w:p>
    <w:p>
      <w:r>
        <w:rPr>
          <w:b w:val="0"/>
        </w:rPr>
        <w:t>Задача: обеспечить применение приёмов поддержки самостоятельной игры. Подготовка: методист и воспитатели изучают организацию игры и уточняют затруднения. Освоение: проводят практикум с моделированием ситуаций выбора. Применение: педагоги используют выбранные приёмы и обсуждают возникающие трудности. Проверка: повторяют наблюдение по тем же критериям. Закрепление: уточняют рекомендации и включают удачные решения в повседневную работу.</w:t>
      </w:r>
    </w:p>
    <w:p>
      <w:r>
        <w:rPr>
          <w:b w:val="0"/>
        </w:rPr>
        <w:t>Продукты: согласованные критерии, варианты организации игры, записи обратной связи. Результат: педагог предоставляет выбор и поддерживает самостоятельные действия детей. Сроки и целевые значения заполняются после исходного наблюдения.</w:t>
      </w:r>
    </w:p>
    <w:p>
      <w:pPr>
        <w:pStyle w:val="Heading2"/>
      </w:pPr>
      <w:r>
        <w:t>Ресурсная проверка</w:t>
      </w:r>
    </w:p>
    <w:p>
      <w:r>
        <w:rPr>
          <w:b w:val="0"/>
        </w:rPr>
        <w:t>Не назначать исполнителем отсутствующего специалиста. Внешнее участие включать после согласования. Расходы указывать по подтверждённой потребности и доступному источнику; отсутствие расчёта обозначать [уточнить стоимость]. При перегрузке уменьшить число параллельных действий и сохранить приоритетные.</w:t>
      </w:r>
    </w:p>
    <w:p>
      <w:r>
        <w:br w:type="page"/>
      </w:r>
    </w:p>
    <w:p>
      <w:pPr>
        <w:pStyle w:val="Heading1"/>
      </w:pPr>
      <w:r>
        <w:t>10 Показатели и оценка результата</w:t>
      </w:r>
    </w:p>
    <w:p>
      <w:r>
        <w:rPr>
          <w:b w:val="0"/>
        </w:rPr>
        <w:t>В источнике критериями названы благополучие детей и взрослых, комфортность среды, развитие возможностей педагогов и детей, сотрудничество с родителями и качество образования. Для плана каждый критерий переводится в проверяемый показатель.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6123"/>
      </w:tblGrid>
      <w:tr>
        <w:trPr>
          <w:tblHeader/>
          <w:cantSplit/>
        </w:trPr>
        <w:tc>
          <w:tcPr>
            <w:tcW w:type="dxa" w:w="3515"/>
          </w:tcPr>
          <w:p>
            <w:pPr>
              <w:spacing w:after="80" w:before="60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6123"/>
          </w:tcPr>
          <w:p>
            <w:pPr>
              <w:spacing w:after="80" w:before="60"/>
            </w:pPr>
            <w:r>
              <w:rPr>
                <w:b/>
                <w:sz w:val="22"/>
              </w:rPr>
              <w:t>Как проверять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60"/>
            </w:pPr>
            <w:r>
              <w:rPr>
                <w:sz w:val="22"/>
              </w:rPr>
              <w:t>Применение педагогами выбранного приёма</w:t>
            </w:r>
          </w:p>
        </w:tc>
        <w:tc>
          <w:tcPr>
            <w:tcW w:type="dxa" w:w="6123"/>
          </w:tcPr>
          <w:p>
            <w:pPr>
              <w:spacing w:after="80" w:before="60"/>
            </w:pPr>
            <w:r>
              <w:rPr>
                <w:sz w:val="22"/>
              </w:rPr>
              <w:t>Число педагогов, продемонстрировавших приём по согласованным критериям, делить на число наблюдавшихся педагогов; указывать охват наблюдения.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60"/>
            </w:pPr>
            <w:r>
              <w:rPr>
                <w:sz w:val="22"/>
              </w:rPr>
              <w:t>Доступность материалов</w:t>
            </w:r>
          </w:p>
        </w:tc>
        <w:tc>
          <w:tcPr>
            <w:tcW w:type="dxa" w:w="6123"/>
          </w:tcPr>
          <w:p>
            <w:pPr>
              <w:spacing w:after="80" w:before="60"/>
            </w:pPr>
            <w:r>
              <w:rPr>
                <w:sz w:val="22"/>
              </w:rPr>
              <w:t>Число выполненных применимых критериев доступности делить на общее число применимых критериев; фиксировать перечень и группы.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60"/>
            </w:pPr>
            <w:r>
              <w:rPr>
                <w:sz w:val="22"/>
              </w:rPr>
              <w:t>Решение профессиональных затруднений</w:t>
            </w:r>
          </w:p>
        </w:tc>
        <w:tc>
          <w:tcPr>
            <w:tcW w:type="dxa" w:w="6123"/>
          </w:tcPr>
          <w:p>
            <w:pPr>
              <w:spacing w:after="80" w:before="60"/>
            </w:pPr>
            <w:r>
              <w:rPr>
                <w:sz w:val="22"/>
              </w:rPr>
              <w:t>Сопоставить исходный запрос, применённый способ помощи и результаты повторного наблюдения; отдельно учитывать самооценку.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60"/>
            </w:pPr>
            <w:r>
              <w:rPr>
                <w:sz w:val="22"/>
              </w:rPr>
              <w:t>Обратная связь семей</w:t>
            </w:r>
          </w:p>
        </w:tc>
        <w:tc>
          <w:tcPr>
            <w:tcW w:type="dxa" w:w="6123"/>
          </w:tcPr>
          <w:p>
            <w:pPr>
              <w:spacing w:after="80" w:before="60"/>
            </w:pPr>
            <w:r>
              <w:rPr>
                <w:sz w:val="22"/>
              </w:rPr>
              <w:t>Число положительных ответов делить на число ответивших; дополнительно указывать долю ответивших от приглашённых и основные предложения.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60"/>
            </w:pPr>
            <w:r>
              <w:rPr>
                <w:sz w:val="22"/>
              </w:rPr>
              <w:t>Возможности детской инициативы</w:t>
            </w:r>
          </w:p>
        </w:tc>
        <w:tc>
          <w:tcPr>
            <w:tcW w:type="dxa" w:w="6123"/>
          </w:tcPr>
          <w:p>
            <w:pPr>
              <w:spacing w:after="80" w:before="60"/>
            </w:pPr>
            <w:r>
              <w:rPr>
                <w:sz w:val="22"/>
              </w:rPr>
              <w:t>Повторные наблюдения за доступностью выбора, началом самостоятельной деятельности и поддержкой со стороны взрослого в сопоставимых ситуациях.</w:t>
            </w:r>
          </w:p>
        </w:tc>
      </w:tr>
    </w:tbl>
    <w:p>
      <w:pPr>
        <w:pStyle w:val="Heading2"/>
      </w:pPr>
      <w:r>
        <w:t>Паспорт показателя</w:t>
      </w:r>
    </w:p>
    <w:p>
      <w:r>
        <w:rPr>
          <w:b w:val="0"/>
        </w:rPr>
        <w:t>Название; связь с задачей; единица измерения; точное определение; числитель и знаменатель, если применимо; исходное значение и дата; промежуточное и итоговое целевые значения; источник; периодичность; ответственный. При нулевом знаменателе показатель не рассчитывается, причина поясняется.</w:t>
      </w:r>
    </w:p>
    <w:p>
      <w:pPr>
        <w:pStyle w:val="Heading2"/>
      </w:pPr>
      <w:r>
        <w:t>Пример расчёта только для пояснения</w:t>
      </w:r>
    </w:p>
    <w:p>
      <w:r>
        <w:rPr>
          <w:b w:val="0"/>
        </w:rPr>
        <w:t>Если из 10 наблюдавшихся педагогов 4 демонстрируют согласованный приём, исходное значение равно 4 / 10 × 100 = 40 %. Если планируется 7 из тех же 10, целевое значение — 70 %. Это условный пример; он не задаёт норматив и не описывает конкретную организацию.</w:t>
      </w:r>
    </w:p>
    <w:p>
      <w:r>
        <w:rPr>
          <w:b w:val="0"/>
        </w:rPr>
        <w:t>Не назначать произвольный рост «на 20 %» без исходного значения и объяснения достижимости. Не использовать долю «успешных детей» как единственное доказательство качества. Наблюдения за развитием служат индивидуальной педагогической поддержке; причины изменений оцениваются с учётом условий и состава групп.</w:t>
      </w:r>
    </w:p>
    <w:p>
      <w:r>
        <w:br w:type="page"/>
      </w:r>
    </w:p>
    <w:p>
      <w:pPr>
        <w:pStyle w:val="Heading1"/>
      </w:pPr>
      <w:r>
        <w:t>11 Этапы мониторинг и корректировка</w:t>
      </w:r>
    </w:p>
    <w:p>
      <w:r>
        <w:rPr>
          <w:b w:val="0"/>
        </w:rPr>
        <w:t>Период плана определяет организация. Приведённые этапы — методическая схема, а не установленный срок действия документа. Конкретные даты указываются после согласования приоритетов и ресурсов.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200"/>
      </w:tblGrid>
      <w:tr>
        <w:trPr>
          <w:tblHeader/>
          <w:cantSplit/>
        </w:trPr>
        <w:tc>
          <w:tcPr>
            <w:tcW w:type="dxa" w:w="2438"/>
          </w:tcPr>
          <w:p>
            <w:pPr>
              <w:spacing w:after="80" w:before="60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type="dxa" w:w="7200"/>
          </w:tcPr>
          <w:p>
            <w:pPr>
              <w:spacing w:after="80" w:before="60"/>
            </w:pPr>
            <w:r>
              <w:rPr>
                <w:b/>
                <w:sz w:val="22"/>
              </w:rPr>
              <w:t>Содержание и основание перехода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60"/>
            </w:pPr>
            <w:r>
              <w:rPr>
                <w:sz w:val="22"/>
              </w:rPr>
              <w:t>Подготовительный</w:t>
            </w:r>
          </w:p>
        </w:tc>
        <w:tc>
          <w:tcPr>
            <w:tcW w:type="dxa" w:w="7200"/>
          </w:tcPr>
          <w:p>
            <w:pPr>
              <w:spacing w:after="80" w:before="60"/>
            </w:pPr>
            <w:r>
              <w:rPr>
                <w:sz w:val="22"/>
              </w:rPr>
              <w:t>Сбор данных, анализ, выбор приоритетов, согласование показателей и ресурсов. Выход: есть обоснованные задачи и выполнимый план действий.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60"/>
            </w:pPr>
            <w:r>
              <w:rPr>
                <w:sz w:val="22"/>
              </w:rPr>
              <w:t>Внедрение</w:t>
            </w:r>
          </w:p>
        </w:tc>
        <w:tc>
          <w:tcPr>
            <w:tcW w:type="dxa" w:w="7200"/>
          </w:tcPr>
          <w:p>
            <w:pPr>
              <w:spacing w:after="80" w:before="60"/>
            </w:pPr>
            <w:r>
              <w:rPr>
                <w:sz w:val="22"/>
              </w:rPr>
              <w:t>Обучение, наставничество, пробное применение, обратная связь и устранение затруднений. Выход: решения проверены в реальной практике.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60"/>
            </w:pPr>
            <w:r>
              <w:rPr>
                <w:sz w:val="22"/>
              </w:rPr>
              <w:t>Закрепление</w:t>
            </w:r>
          </w:p>
        </w:tc>
        <w:tc>
          <w:tcPr>
            <w:tcW w:type="dxa" w:w="7200"/>
          </w:tcPr>
          <w:p>
            <w:pPr>
              <w:spacing w:after="80" w:before="60"/>
            </w:pPr>
            <w:r>
              <w:rPr>
                <w:sz w:val="22"/>
              </w:rPr>
              <w:t>Распространение удачных решений, уточнение методических материалов, поддержка новых работников. Выход: практика сохраняется в повседневной работе.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60"/>
            </w:pPr>
            <w:r>
              <w:rPr>
                <w:sz w:val="22"/>
              </w:rPr>
              <w:t>Итоговый анализ</w:t>
            </w:r>
          </w:p>
        </w:tc>
        <w:tc>
          <w:tcPr>
            <w:tcW w:type="dxa" w:w="7200"/>
          </w:tcPr>
          <w:p>
            <w:pPr>
              <w:spacing w:after="80" w:before="60"/>
            </w:pPr>
            <w:r>
              <w:rPr>
                <w:sz w:val="22"/>
              </w:rPr>
              <w:t>Сопоставление результатов с исходными и целевыми значениями, объяснение отклонений, определение следующего цикла развития.</w:t>
            </w:r>
          </w:p>
        </w:tc>
      </w:tr>
    </w:tbl>
    <w:p>
      <w:pPr>
        <w:pStyle w:val="Heading2"/>
      </w:pPr>
      <w:r>
        <w:t>Как организовать мониторинг</w:t>
      </w:r>
    </w:p>
    <w:p>
      <w:r>
        <w:rPr>
          <w:b w:val="0"/>
        </w:rPr>
        <w:t>На старте зафиксировать исходное состояние. В ходе реализации собирать только данные, необходимые для решений. После значимых этапов обсуждать изменения практики. Раз в год можно готовить аналитическую записку о ходе развития — эта форма предложена в источнике и рекомендуется как удобный способ обобщения, а не как универсальная обязательная отчётность.</w:t>
      </w:r>
    </w:p>
    <w:p>
      <w:r>
        <w:rPr>
          <w:b w:val="0"/>
        </w:rPr>
        <w:t>Методист координирует наблюдение и поддержку; педагоги представляют результаты применения; руководитель решает вопросы ресурсов и корректировки в пределах полномочий. Состав участников уточняется по фактической структуре организации.</w:t>
      </w:r>
    </w:p>
    <w:p>
      <w:pPr>
        <w:pStyle w:val="Heading2"/>
      </w:pPr>
      <w:r>
        <w:t>Что отражать в аналитической записке</w:t>
      </w:r>
    </w:p>
    <w:p>
      <w:r>
        <w:rPr>
          <w:b w:val="0"/>
        </w:rPr>
        <w:t>Что планировали; что выполнено; что изменилось; какие данные это подтверждают; какие трудности сохранились; чем объясняются отклонения; какие решения и сроки предлагаются. Невыполненное мероприятие и недостигнутый результат описываются отдельно.</w:t>
      </w:r>
    </w:p>
    <w:p>
      <w:pPr>
        <w:pStyle w:val="Heading2"/>
      </w:pPr>
      <w:r>
        <w:t>Риски и ответные действия</w:t>
      </w:r>
    </w:p>
    <w:p>
      <w:r>
        <w:rPr>
          <w:b w:val="0"/>
        </w:rPr>
        <w:t>Нехватка времени — объединить сопровождение с действующей методической работой. Кадровые изменения — предусмотреть передачу материалов и вводную поддержку. Недоступность внешнего обучения — организовать внутренний практикум по имеющимся компетенциям. Отсутствие ожидаемого эффекта — перепроверить причину проблемы и качество применения, затем изменить способ поддержки.</w:t>
      </w:r>
    </w:p>
    <w:p>
      <w:r>
        <w:br w:type="page"/>
      </w:r>
    </w:p>
    <w:p>
      <w:pPr>
        <w:pStyle w:val="Heading1"/>
      </w:pPr>
      <w:r>
        <w:t>12 Формулировки и проверка готовности</w:t>
      </w:r>
    </w:p>
    <w:p>
      <w:pPr>
        <w:pStyle w:val="Heading2"/>
      </w:pPr>
      <w:r>
        <w:t>Образцы для содержательного наполнения</w:t>
      </w:r>
    </w:p>
    <w:p>
      <w:r>
        <w:rPr>
          <w:b w:val="0"/>
        </w:rPr>
        <w:t>Аналитический вывод: «Анализ [данные за период] выявил [проблему]. Она проявляется в [признаки]. Имеющиеся ресурсы [перечень] позволяют начать изменения с [приоритет]».</w:t>
      </w:r>
    </w:p>
    <w:p>
      <w:r>
        <w:rPr>
          <w:b w:val="0"/>
        </w:rPr>
        <w:t>Методическое сопровождение: «По результатам изучения профессиональных запросов организуется адресная помощь педагогам. Сопровождение включает совместное планирование, показ приёмов, применение в группе, наблюдение и обратную связь. Результаты обсуждаются по согласованным критериям».</w:t>
      </w:r>
    </w:p>
    <w:p>
      <w:r>
        <w:rPr>
          <w:b w:val="0"/>
        </w:rPr>
        <w:t>Ожидаемый результат: «К [дата] педагоги [наблюдаемое изменение практики]. Подтверждение: [источник]. Исходное значение [значение и дата], целевое значение [значение и обоснование]».</w:t>
      </w:r>
    </w:p>
    <w:p>
      <w:r>
        <w:rPr>
          <w:b w:val="0"/>
        </w:rPr>
        <w:t>Партнёрство с семьёй: «Темы и формы взаимодействия определяются по запросам родителей и наблюдаемым потребностям детей. Предложения семей рассматриваются при корректировке действий; результаты обратной связи представляются в обобщённом виде».</w:t>
      </w:r>
    </w:p>
    <w:p>
      <w:pPr>
        <w:pStyle w:val="Heading2"/>
      </w:pPr>
      <w:r>
        <w:t>Контрольный список составителя</w:t>
      </w:r>
    </w:p>
    <w:p>
      <w:r>
        <w:rPr>
          <w:b w:val="0"/>
        </w:rPr>
        <w:t>□ Каждая проблема подтверждена данными; предположения о причинах обозначены отдельно.</w:t>
        <w:br/>
        <w:t>□ У каждой задачи есть действия, ресурс, ответственный и проверяемый результат.</w:t>
        <w:br/>
        <w:t>□ В плане показаны изменения, а не только перечень мероприятий.</w:t>
        <w:br/>
        <w:t>□ Сроки и численные значения соответствуют возможностям организации.</w:t>
        <w:br/>
        <w:t>□ Содержание согласовано с применимыми документами ДВиО Казахстана.</w:t>
        <w:br/>
        <w:t>□ Учтены возраст, язык воспитания и обучения и доступность участия детей.</w:t>
        <w:br/>
        <w:t>□ Внешние партнёры и расходы не объявлены обеспеченными без подтверждения.</w:t>
        <w:br/>
        <w:t>□ Российские названия, исторические сроки и процедуры не перенесены как действующие требования.</w:t>
        <w:br/>
        <w:t>□ Нет вымышленных сведений и индивидуальных данных детей и семей.</w:t>
        <w:br/>
        <w:t>□ Понятно, кто анализирует результаты и как корректируется план.</w:t>
      </w:r>
    </w:p>
    <w:p>
      <w:pPr>
        <w:pStyle w:val="Heading2"/>
      </w:pPr>
      <w:r>
        <w:t>Минимальный пакет перед составлением собственного плана</w:t>
      </w:r>
    </w:p>
    <w:p>
      <w:r>
        <w:rPr>
          <w:b w:val="0"/>
        </w:rPr>
        <w:t>Наименование и период; информационная справка; аналитические выводы; профессиональные запросы педагогов; сводная обратная связь семей; описание среды и ресурсов; выбранные приоритеты; исходные значения показателей. Если данных пока нет, сначала заполнить карту их сбора: что требуется → источник → ответственная должность → срок.</w:t>
      </w:r>
    </w:p>
    <w:p>
      <w:r>
        <w:br w:type="page"/>
      </w:r>
    </w:p>
    <w:p>
      <w:pPr>
        <w:pStyle w:val="Heading1"/>
      </w:pPr>
      <w:r>
        <w:t>13 Источники и границы использования</w:t>
      </w:r>
    </w:p>
    <w:p>
      <w:pPr>
        <w:pStyle w:val="Heading2"/>
      </w:pPr>
      <w:r>
        <w:t>Предоставленный документ</w:t>
      </w:r>
    </w:p>
    <w:p>
      <w:r>
        <w:rPr>
          <w:b w:val="0"/>
        </w:rPr>
        <w:t>«Отсканированный документ.pdf»: 6 страниц, печатные страницы 74–79. На странице 74 начинается приложение 2 «Программа развития МДОУ “Детский сад № 41”, г. Славгород». Полные выходные данные издания в скане отсутствуют. Упоминание опыта М. М. Поташника не является доказательством его авторства всего издания.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483"/>
      </w:tblGrid>
      <w:tr>
        <w:trPr>
          <w:tblHeader/>
          <w:cantSplit/>
        </w:trPr>
        <w:tc>
          <w:tcPr>
            <w:tcW w:type="dxa" w:w="2154"/>
          </w:tcPr>
          <w:p>
            <w:pPr>
              <w:spacing w:after="80" w:before="60"/>
            </w:pPr>
            <w:r>
              <w:rPr>
                <w:b/>
                <w:sz w:val="22"/>
              </w:rPr>
              <w:t>Страницы издания</w:t>
            </w:r>
          </w:p>
        </w:tc>
        <w:tc>
          <w:tcPr>
            <w:tcW w:type="dxa" w:w="7483"/>
          </w:tcPr>
          <w:p>
            <w:pPr>
              <w:spacing w:after="80" w:before="60"/>
            </w:pPr>
            <w:r>
              <w:rPr>
                <w:b/>
                <w:sz w:val="22"/>
              </w:rPr>
              <w:t>Методическое содержание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60"/>
            </w:pPr>
            <w:r>
              <w:rPr>
                <w:sz w:val="22"/>
              </w:rPr>
              <w:t>74</w:t>
            </w:r>
          </w:p>
        </w:tc>
        <w:tc>
          <w:tcPr>
            <w:tcW w:type="dxa" w:w="7483"/>
          </w:tcPr>
          <w:p>
            <w:pPr>
              <w:spacing w:after="80" w:before="60"/>
            </w:pPr>
            <w:r>
              <w:rPr>
                <w:sz w:val="22"/>
              </w:rPr>
              <w:t>Анализ ситуации, мобилизация внутренних ресурсов, связи с социумом и программа действий; предпосылки изменений.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60"/>
            </w:pPr>
            <w:r>
              <w:rPr>
                <w:sz w:val="22"/>
              </w:rPr>
              <w:t>75</w:t>
            </w:r>
          </w:p>
        </w:tc>
        <w:tc>
          <w:tcPr>
            <w:tcW w:type="dxa" w:w="7483"/>
          </w:tcPr>
          <w:p>
            <w:pPr>
              <w:spacing w:after="80" w:before="60"/>
            </w:pPr>
            <w:r>
              <w:rPr>
                <w:sz w:val="22"/>
              </w:rPr>
              <w:t>Состав программы, информационная справка, возможные объекты изучения качества работы.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60"/>
            </w:pPr>
            <w:r>
              <w:rPr>
                <w:sz w:val="22"/>
              </w:rPr>
              <w:t>76</w:t>
            </w:r>
          </w:p>
        </w:tc>
        <w:tc>
          <w:tcPr>
            <w:tcW w:type="dxa" w:w="7483"/>
          </w:tcPr>
          <w:p>
            <w:pPr>
              <w:spacing w:after="80" w:before="60"/>
            </w:pPr>
            <w:r>
              <w:rPr>
                <w:sz w:val="22"/>
              </w:rPr>
              <w:t>Наблюдение, мониторинг, анкетирование; схема проблемно ориентированного анализа на рисунке 6.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60"/>
            </w:pPr>
            <w:r>
              <w:rPr>
                <w:sz w:val="22"/>
              </w:rPr>
              <w:t>77</w:t>
            </w:r>
          </w:p>
        </w:tc>
        <w:tc>
          <w:tcPr>
            <w:tcW w:type="dxa" w:w="7483"/>
          </w:tcPr>
          <w:p>
            <w:pPr>
              <w:spacing w:after="80" w:before="60"/>
            </w:pPr>
            <w:r>
              <w:rPr>
                <w:sz w:val="22"/>
              </w:rPr>
              <w:t>Направления анализа, разделы концепции, цели и направления плана действий.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60"/>
            </w:pPr>
            <w:r>
              <w:rPr>
                <w:sz w:val="22"/>
              </w:rPr>
              <w:t>78</w:t>
            </w:r>
          </w:p>
        </w:tc>
        <w:tc>
          <w:tcPr>
            <w:tcW w:type="dxa" w:w="7483"/>
          </w:tcPr>
          <w:p>
            <w:pPr>
              <w:spacing w:after="80" w:before="60"/>
            </w:pPr>
            <w:r>
              <w:rPr>
                <w:sz w:val="22"/>
              </w:rPr>
              <w:t>Творческие группы, поддержка молодых педагогов, методическая работа, профессиональное развитие и принципы.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60"/>
            </w:pPr>
            <w:r>
              <w:rPr>
                <w:sz w:val="22"/>
              </w:rPr>
              <w:t>79</w:t>
            </w:r>
          </w:p>
        </w:tc>
        <w:tc>
          <w:tcPr>
            <w:tcW w:type="dxa" w:w="7483"/>
          </w:tcPr>
          <w:p>
            <w:pPr>
              <w:spacing w:after="80" w:before="60"/>
            </w:pPr>
            <w:r>
              <w:rPr>
                <w:sz w:val="22"/>
              </w:rPr>
              <w:t>Требования к профессиональным качествам, критерии результата, начало таблицы 22 со стадиями развития.</w:t>
            </w:r>
          </w:p>
        </w:tc>
      </w:tr>
    </w:tbl>
    <w:p>
      <w:r>
        <w:rPr>
          <w:b w:val="0"/>
        </w:rPr>
        <w:t>В перечне препятствий на странице 74 напечатано «наличие благоприятного … микроклимата». В контексте препятствий формулировка выглядит противоречивой. В пособии использована самостоятельная рекомендация оценивать качество взаимодействия и эмоциональный комфорт без приписывания источнику исправленного текста.</w:t>
      </w:r>
    </w:p>
    <w:p>
      <w:pPr>
        <w:pStyle w:val="Heading2"/>
      </w:pPr>
      <w:r>
        <w:t>Официальные источники Казахстана</w:t>
      </w:r>
    </w:p>
    <w:p>
      <w:r>
        <w:rPr>
          <w:b w:val="0"/>
        </w:rPr>
        <w:t>[1] Приказ от 03.08.2022 № 348, приложение 1 — ГОСО ДВиО. https://old.adilet.zan.kz/rus/docs/V2200029031</w:t>
      </w:r>
    </w:p>
    <w:p>
      <w:r>
        <w:rPr>
          <w:b w:val="0"/>
        </w:rPr>
        <w:t>[2] Приказ от 20.12.2012 № 557 — типовые учебные планы ДВиО РК. https://old.adilet.zan.kz/rus/docs/V1200008275</w:t>
      </w:r>
    </w:p>
    <w:p>
      <w:r>
        <w:rPr>
          <w:b w:val="0"/>
        </w:rPr>
        <w:t>[3] Приказ от 12.08.2016 № 499 — типовые учебные программы ДВиО. https://old.adilet.zan.kz/rus/docs/V1600014235</w:t>
      </w:r>
    </w:p>
    <w:p>
      <w:r>
        <w:rPr>
          <w:b w:val="0"/>
        </w:rPr>
        <w:t>[4] Постановление от 28.03.2023 № 249 — Концепция развития образования на 2023–2029 годы. https://old.adilet.zan.kz/rus/docs/P2300000249</w:t>
      </w:r>
    </w:p>
    <w:p>
      <w:r>
        <w:rPr>
          <w:b w:val="0"/>
        </w:rPr>
        <w:t>Официальные страницы просмотрены 21 октября 2026 года. Структура пособия, SWOT, карточки действий, формулы показателей и примеры формулировок — методическая разработка на основе извлечённой логики; они не являются цитатами из нормативных актов или утверждённым образцом плана.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2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2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2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Методическое сопровождение разработки плана развития дошкольной организации Казахстана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