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40"/>
        <w:jc w:val="center"/>
      </w:pPr>
      <w:r>
        <w:rPr>
          <w:rFonts w:ascii="Times New Roman" w:hAnsi="Times New Roman"/>
          <w:b/>
          <w:color w:val="1F4E78"/>
          <w:sz w:val="44"/>
        </w:rPr>
        <w:t>СТАНДАРТ КАЧЕСТВА</w:t>
        <w:br/>
        <w:t>СОВРЕМЕННОГО УРОКА</w:t>
      </w:r>
    </w:p>
    <w:p>
      <w:pPr>
        <w:spacing w:after="360"/>
        <w:jc w:val="center"/>
      </w:pPr>
      <w:r>
        <w:rPr>
          <w:rFonts w:ascii="Times New Roman" w:hAnsi="Times New Roman"/>
          <w:i/>
          <w:sz w:val="26"/>
        </w:rPr>
        <w:t>Две оценочные формы и решение для следующего урока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9"/>
              </w:rPr>
              <w:t>Назначение</w:t>
            </w:r>
          </w:p>
        </w:tc>
        <w:tc>
          <w:tcPr>
            <w:tcW w:type="dxa" w:w="72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9"/>
              </w:rPr>
              <w:t>Проверка КСП до урока; анализ проведённого урока; профессиональная рефлексия.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9"/>
              </w:rPr>
              <w:t>Область</w:t>
            </w:r>
          </w:p>
        </w:tc>
        <w:tc>
          <w:tcPr>
            <w:tcW w:type="dxa" w:w="72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9"/>
              </w:rPr>
              <w:t>Общеобразовательные школы Казахстана, 5–11 классы, с предметной и контекстной адаптацией.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9"/>
              </w:rPr>
              <w:t>Статус</w:t>
            </w:r>
          </w:p>
        </w:tc>
        <w:tc>
          <w:tcPr>
            <w:tcW w:type="dxa" w:w="72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9"/>
              </w:rPr>
              <w:t>Диагностическая методическая рамка; не нормативный правовой акт и не официальная шкала аттестации.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>Ключевой принцип: качество КСП определяется связностью замысла, а качество урока — наблюдаемым продвижением учащихся. Эти два результата нельзя смешивать в одной сумме.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Назначение и границы применения</w:t>
      </w:r>
    </w:p>
    <w:p>
      <w:r>
        <w:t>Хороший поурочный план — не подробный сценарий действий учителя, а логически связанная модель достижения учебной цели: цель → деятельность учащихся → оценивание → вывод о результате → корректировка следующего урока.</w:t>
      </w:r>
    </w:p>
    <w:p>
      <w:r>
        <w:t>Качество плана оценивается до урока по тому, насколько обоснованно и последовательно спроектировано обучение. Качество урока оценивается после проведения по тому, чему действительно научились учащиеся и какие доказательства это подтверждают.</w:t>
      </w:r>
    </w:p>
    <w:p>
      <w:pPr>
        <w:pStyle w:val="Heading1"/>
        <w:keepNext/>
      </w:pPr>
      <w:r>
        <w:t>2. Объединённая архитектура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1. До урока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Форма 1: 14 критериев, шкала 0–2; обязательные шлюзы вне суммы.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Диагноз качества проектирования КСП, максимум 28 баллов.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2. После урока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Форма 2: 12 критериев, шкала 0–3; только наблюдаемые доказательства.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Анализ реализации урока, максимум 36 баллов.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3. Следующий урок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Пять решений по результату, группам, затруднению, опоре и изменению.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Одно конкретное педагогическое изменение и признак эффективности.</w:t>
            </w:r>
          </w:p>
        </w:tc>
      </w:tr>
    </w:tbl>
    <w:p>
      <w:pPr>
        <w:pStyle w:val="Heading1"/>
        <w:keepNext/>
      </w:pPr>
      <w:r>
        <w:t>Форма 1. Качество проектирования КСП</w:t>
      </w:r>
    </w:p>
    <w:p>
      <w:r>
        <w:t>Назначение: проверка плана до урока. Оценивается качество проектирования, а не предполагаемое поведение учащихся.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№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Наблюдаемые признаки качественного плана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Соответствие учебной программе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Указана точная цель обучения; цель урока конкретизирует её, а не заменяет произвольной целью.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Измеримая цель урока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Цель описывает наблюдаемое действие ученика и результат, который должен появиться к концу урока.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3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Критерии успеха / оценивания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Определены признаки достижения цели; во встроенной форме КСП они оформляются как критерии оценивания, без создания дублирующего поля.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Связность плана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Прослеживается цепочка «цель → задание → результат ученика → оценивание»; нет лишних активностей.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5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Учёт исходного уровня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Предусмотрены актуализация предыдущих знаний или краткая диагностика готовности.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6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Логика этапов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Начало, основная часть и завершение выполняют разные функции; переходы последовательны, время реалистично.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7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Когнитивная активность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Учащиеся объясняют, применяют, сравнивают, исследуют, аргументируют или создают продукт в соответствии с целью.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8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Самостоятельность ученика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Преобладают действия учащихся; после объяснения предусмотрены направленная практика и самостоятельное применение.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9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Формативное оценивание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Указано, что учитель наблюдает, собирает или проверяет и как использует полученную информацию.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10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Качественная обратная связь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Запланирована обратная связь: что получилось, что улучшить и какое действие выполнить дальше.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11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Дифференциация и доступность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Поддержка отвечает различиям в готовности и потребностях; предусмотрены опоры, темп, ресурсы, формы ответа и усложнение.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12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Ресурсы и реализуемость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Ресурсы нужны для достижения цели, доступны и подготовлены; при необходимости есть вариант без интернета или личного устройства.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13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Завершение урока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В конце учащиеся демонстрируют результат, прямо связанный с целью, а не только сообщают настроение.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14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Рефлексия учителя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Предусмотрен анализ доказательств обучения, эффективности методов, поддержки групп и одно изменение следующего урока.</w:t>
            </w:r>
          </w:p>
        </w:tc>
      </w:tr>
    </w:tbl>
    <w:p>
      <w:pPr>
        <w:pStyle w:val="Heading2"/>
        <w:keepNext/>
      </w:pPr>
      <w:r>
        <w:t>Шкала формы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Балл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Правило присвоения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Реализован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Элемент конкретен и согласован с другими частями плана.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Реализован частично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Элемент указан формально либо связь недостаточно ясна.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Не реализован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Элемент отсутствует или противоречит цели урока.</w:t>
            </w:r>
          </w:p>
        </w:tc>
      </w:tr>
    </w:tbl>
    <w:p>
      <w:r>
        <w:t>Максимум: 28 баллов. Ориентировочная интерпретация: 24–28 — методически целостный и готовый план; 18–23 — рабочий план с точечными доработками; 11–17 — основные элементы есть, но связи недостаточны; 0–10 — требуется перепроектирование.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>Это диагностическая шкала, а не официальная система аттестации НАО.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Обязательные шлюзы формы 1</w:t>
      </w:r>
    </w:p>
    <w:p>
      <w:r>
        <w:t>Шлюзы оцениваются отдельно от 28 баллов. Невыполнение хотя бы одного блокирует положительное заключение независимо от суммы.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Шлюз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Минимальное условие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Безопасность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Нет угроз физической или психологической безопасности; предусмотрено право на ошибку.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Недискриминация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Нет унижения, ярлыков, стереотипов и исключения по ООП, языку, темпу или социальному положению.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Предметная корректность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Нет существенных предметных ошибок; источники и факты проверяемы.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Доступность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Ключевая активность не требует обязательного личного устройства, платного сервиса или аккаунта без равноценной альтернативы.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Защита данных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Не запрашиваются и не передаются лишние персональные или чувствительные данные.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Ответственное использование ИИ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ИИ используется только при педагогической ценности; результат проверяет человек, авторство прозрачно, финальное решение остаётся за педагогом.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7F6000"/>
              </w:rPr>
              <w:t>Адаптируются способы доступа, поддержки и демонстрации результата; содержательная цель не снижается без нормативно и педагогически обоснованной необходимости.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Пять критических вопросов для быстрой проверки КСП</w:t>
      </w:r>
    </w:p>
    <w:p>
      <w:r>
        <w:t>Если хотя бы на два вопроса нельзя ответить конкретно, план следует доработать.</w:t>
      </w:r>
    </w:p>
    <w:p>
      <w:pPr>
        <w:pStyle w:val="ListBullet"/>
      </w:pPr>
      <w:r>
        <w:t>Что именно ученик сможет сделать к концу урока?</w:t>
      </w:r>
    </w:p>
    <w:p>
      <w:pPr>
        <w:pStyle w:val="ListBullet"/>
      </w:pPr>
      <w:r>
        <w:t>Какое задание даст возможность этому научиться?</w:t>
      </w:r>
    </w:p>
    <w:p>
      <w:pPr>
        <w:pStyle w:val="ListBullet"/>
      </w:pPr>
      <w:r>
        <w:t>Какой результат или действие ученика подтвердит достижение цели?</w:t>
      </w:r>
    </w:p>
    <w:p>
      <w:pPr>
        <w:pStyle w:val="ListBullet"/>
      </w:pPr>
      <w:r>
        <w:t>Какую поддержку получат учащиеся, испытывающие затруднения, и какое развитие — быстро справившиеся?</w:t>
      </w:r>
    </w:p>
    <w:p>
      <w:pPr>
        <w:pStyle w:val="ListBullet"/>
      </w:pPr>
      <w:r>
        <w:t>Что учитель изменит в зависимости от результатов оценивания?</w:t>
      </w:r>
    </w:p>
    <w:p>
      <w:pPr>
        <w:pStyle w:val="Heading2"/>
        <w:keepNext/>
      </w:pPr>
      <w:r>
        <w:t>Основные признаки слабого плана</w:t>
      </w:r>
    </w:p>
    <w:p>
      <w:pPr>
        <w:pStyle w:val="ListBullet"/>
      </w:pPr>
      <w:r>
        <w:t>цель сформулирована через действия учителя или подменена процессом;</w:t>
      </w:r>
    </w:p>
    <w:p>
      <w:pPr>
        <w:pStyle w:val="ListBullet"/>
      </w:pPr>
      <w:r>
        <w:t>активности не связаны с единым учебным результатом;</w:t>
      </w:r>
    </w:p>
    <w:p>
      <w:pPr>
        <w:pStyle w:val="ListBullet"/>
      </w:pPr>
      <w:r>
        <w:t>оценивание названо приёмом, похвалой или смайликом без проверяемого результата;</w:t>
      </w:r>
    </w:p>
    <w:p>
      <w:pPr>
        <w:pStyle w:val="ListBullet"/>
      </w:pPr>
      <w:r>
        <w:t>дифференциация сведена к «помощи слабым» и дополнительному объёму для сильных;</w:t>
      </w:r>
    </w:p>
    <w:p>
      <w:pPr>
        <w:pStyle w:val="ListBullet"/>
      </w:pPr>
      <w:r>
        <w:t>рефлексия измеряет только настроение;</w:t>
      </w:r>
    </w:p>
    <w:p>
      <w:pPr>
        <w:pStyle w:val="ListBullet"/>
      </w:pPr>
      <w:r>
        <w:t>план перегружен и нереалистичен по времени;</w:t>
      </w:r>
    </w:p>
    <w:p>
      <w:pPr>
        <w:pStyle w:val="ListBullet"/>
      </w:pPr>
      <w:r>
        <w:t>цифровой инструмент или ИИ используется ради формы, а не улучшения обучения.</w:t>
      </w:r>
    </w:p>
    <w:p>
      <w:pPr>
        <w:pStyle w:val="Heading1"/>
        <w:keepNext/>
      </w:pPr>
      <w:r>
        <w:t>Форма 2. Качество проведённого урока</w:t>
      </w:r>
    </w:p>
    <w:p>
      <w:r>
        <w:t>Назначение: анализ реализации после урока. Балл допустим только при наличии наблюдаемых доказательств, а не по тексту КСП или общему впечатлению.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>Допустимые доказательства: ответы учащихся; действия и решения; выполненные продукты; ошибки и их исправление; изменение поддержки учителем; продвижение относительно исходного уровня.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№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Критерий реализации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Наблюдаемые доказательства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Цель и понятность результата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Цель соответствует программе; учащиеся понимают, чему учатся и как выглядит успешный результат.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Связность «цель → задание → результат → оценивание»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Задания привели к релевантным продуктам или действиям; оценивание проверяло именно заявленную цель.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3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Исходный уровень и предметное содержание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Учитель выявил готовность; объяснение и содержание предметно корректны; новое связано с предшествующим знанием.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Методы, ресурсы и доступность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Методы и ресурсы помогали освоению; учащиеся имели реальный доступ, включая равноценную нецифровую альтернативу.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5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Когнитивная активность и самостоятельность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Основную интеллектуальную работу выполняли учащиеся: объясняли, применяли, сравнивали, исследовали, аргументировали или создавали.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6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Дифференциация и индивидуальная поддержка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Поддержка менялась по фактическому затруднению; разные маршруты вели к общей цели; усложнение углубляло мышление.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7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Психологическая безопасность и мотивация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Учащиеся могли ошибаться, задавать вопросы и выражать позицию без унижения; мотивация опиралась на смысл обучения.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8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Структура урока и использование времени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Этапы последовательно вели к цели; время преимущественно использовалось для мышления и практики учащихся.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9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Взаимодействие и ценности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Разные учащиеся внесли содержательный вклад; роли, обсуждение и решения демонстрировали уважение и ответственность.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10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Формативное оценивание и обратная связь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Учитель получил данные о понимании большинства, скорректировал обучение; учащиеся поняли успех, затруднение и следующий шаг.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11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Завершение с демонстрацией результата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В конце учащиеся показали продукт, действие, объяснение или решение, непосредственно подтверждающее достижение цели.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12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Рефлексия и решение для следующего урока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Учитель отделил выполнение активности от обучения, определил группы, затруднение, эффективную опору и одно конкретное изменение.</w:t>
            </w:r>
          </w:p>
        </w:tc>
      </w:tr>
    </w:tbl>
    <w:p>
      <w:pPr>
        <w:pStyle w:val="Heading2"/>
        <w:keepNext/>
      </w:pPr>
      <w:r>
        <w:t>Шкала формы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Балл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Правило присвоения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Не проявлено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Доказательств нет либо практика противоречит цели, качеству или безопасности.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Начальный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Есть отдельные проявления, но они непоследовательны и мало влияют на обучение.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Рабочий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Критерий в основном реализован; есть доказательства обучения большинства учащихся.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Сильный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Практика системна, охватывает разные группы и приводит к заметному прогрессу и самостоятельности.</w:t>
            </w:r>
          </w:p>
        </w:tc>
      </w:tr>
    </w:tbl>
    <w:p>
      <w:r>
        <w:t>Максимум: 36 баллов. Итоговая сумма имеет смысл только вместе с зафиксированными доказательствами и не используется изолированно для рейтинга, наказания или аттестационного решения.</w:t>
      </w:r>
    </w:p>
    <w:p>
      <w:pPr>
        <w:pStyle w:val="Heading2"/>
        <w:keepNext/>
      </w:pPr>
      <w:r>
        <w:t>Сквозные условия формы 2</w:t>
      </w:r>
    </w:p>
    <w:p>
      <w:r>
        <w:t>Безопасность, недискриминация, предметная корректность, доступность, защита данных и ответственное использование ИИ проверяются как обязательные шлюзы. Нарушение шлюза не компенсируется высокой суммой по 12 критериям.</w:t>
      </w:r>
    </w:p>
    <w:p>
      <w:pPr>
        <w:pStyle w:val="Heading1"/>
        <w:keepNext/>
      </w:pPr>
      <w:r>
        <w:t>Уровень 3. Решение для следующего урока</w:t>
      </w:r>
    </w:p>
    <w:p>
      <w:r>
        <w:t>После проверки КСП и анализа проведённого урока зафиксировать пять позиций:</w:t>
      </w:r>
    </w:p>
    <w:p>
      <w:pPr>
        <w:pStyle w:val="ListBullet"/>
      </w:pPr>
      <w:r>
        <w:t>достигнутый результат и конкретные доказательства;</w:t>
      </w:r>
    </w:p>
    <w:p>
      <w:pPr>
        <w:pStyle w:val="ListBullet"/>
      </w:pPr>
      <w:r>
        <w:t>группы учащихся, которым потребовалась поддержка или дополнительный вызов;</w:t>
      </w:r>
    </w:p>
    <w:p>
      <w:pPr>
        <w:pStyle w:val="ListBullet"/>
      </w:pPr>
      <w:r>
        <w:t>главное затруднение;</w:t>
      </w:r>
    </w:p>
    <w:p>
      <w:pPr>
        <w:pStyle w:val="ListBullet"/>
      </w:pPr>
      <w:r>
        <w:t>эффективный метод, ресурс или опора;</w:t>
      </w:r>
    </w:p>
    <w:p>
      <w:pPr>
        <w:pStyle w:val="ListBullet"/>
      </w:pPr>
      <w:r>
        <w:t>одно конкретное изменение следующего урока и признак его эффективности.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Позиция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Запись по доказательствам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Достигнутый результат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Группы и потребности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Главное затруднение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Эффективный метод / опора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Изменение следующего урока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</w:tr>
    </w:tbl>
    <w:p>
      <w:pPr>
        <w:pStyle w:val="Heading1"/>
        <w:keepNext/>
      </w:pPr>
      <w:r>
        <w:t>Источники и статус</w:t>
      </w:r>
    </w:p>
    <w:p>
      <w:r>
        <w:t>Основной источник: Национальная академия образования имени И. Алтынсарина. «Сабақ жоспарлау: әдістемелік нұсқаулық». Методические рекомендации, 2023. Печатные страницы 104–118 и 174. Электронный файл: «Сабақ жоспарлау Әдістемелік Нұсқаулық НАО.pdf».</w:t>
      </w:r>
    </w:p>
    <w:p>
      <w:r>
        <w:t>Настоящий документ: «Стандарт качества современного урока». Авторская интегрированная методическая рамка, редакция 6 августа 2026 года. Разработан для проектирования КСП, наблюдения урока и профессиональной рефлексии. Не является нормативным правовым актом или официальной системой аттестации НАО.</w:t>
      </w:r>
    </w:p>
    <w:p>
      <w:r>
        <w:t>Неверифицированная ссылка на «лист наблюдения урока 2024 года» исключена из библиографической атрибуции: без точного названия, разработчика, даты, страниц и статуса такой источник нельзя считать проверяемым.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16"/>
      </w:rPr>
      <w:t>Стандарт качества современного урока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646464"/>
        <w:sz w:val="16"/>
      </w:rPr>
      <w:t>Методическая рамка • редакция 06.08.2026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