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AA088">
      <w:pPr>
        <w:pStyle w:val="2"/>
      </w:pPr>
      <w:r>
        <w:t>Theraptly Audit-Readiness Overview</w:t>
      </w:r>
    </w:p>
    <w:p w14:paraId="2767363F">
      <w:pPr>
        <w:pStyle w:val="3"/>
      </w:pPr>
      <w:r>
        <w:t>1. Why Audit-Readiness Matters for Theraptly</w:t>
      </w:r>
    </w:p>
    <w:p w14:paraId="1DF29B85">
      <w:r>
        <w:t>Even though Theraptly is a tech startup, it builds tools that touch regulated healthcare data and C.a.r.f.-accredited workflows. Behavioral-health facilities must be able to trust that using Theraptly will not put their own C.a.r.f. or H.i.p.a.a. compliance at risk. If the company seeks partnerships, contracts, or funding, auditors (internal or external) will want to verify that systems, staff, and policies follow best-practice standards.</w:t>
      </w:r>
    </w:p>
    <w:p w14:paraId="71DA977E">
      <w:pPr>
        <w:pStyle w:val="3"/>
      </w:pPr>
      <w:r>
        <w:t>2. Types of Audits Theraptly Should Prepare For</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52A41C18">
        <w:tblPrEx>
          <w:tblCellMar>
            <w:top w:w="0" w:type="dxa"/>
            <w:left w:w="108" w:type="dxa"/>
            <w:bottom w:w="0" w:type="dxa"/>
            <w:right w:w="108" w:type="dxa"/>
          </w:tblCellMar>
        </w:tblPrEx>
        <w:tc>
          <w:tcPr>
            <w:tcW w:w="2160" w:type="dxa"/>
          </w:tcPr>
          <w:p w14:paraId="199AF22D">
            <w:r>
              <w:t>Audit Type</w:t>
            </w:r>
          </w:p>
        </w:tc>
        <w:tc>
          <w:tcPr>
            <w:tcW w:w="2160" w:type="dxa"/>
          </w:tcPr>
          <w:p w14:paraId="78197124">
            <w:r>
              <w:t>Who Conducts It</w:t>
            </w:r>
          </w:p>
        </w:tc>
        <w:tc>
          <w:tcPr>
            <w:tcW w:w="2160" w:type="dxa"/>
          </w:tcPr>
          <w:p w14:paraId="0A2054E8">
            <w:r>
              <w:t>Purpose / Focus</w:t>
            </w:r>
          </w:p>
        </w:tc>
        <w:tc>
          <w:tcPr>
            <w:tcW w:w="2160" w:type="dxa"/>
          </w:tcPr>
          <w:p w14:paraId="7B326A5E">
            <w:r>
              <w:t>Timing</w:t>
            </w:r>
          </w:p>
        </w:tc>
      </w:tr>
      <w:tr w14:paraId="706956A9">
        <w:tblPrEx>
          <w:tblCellMar>
            <w:top w:w="0" w:type="dxa"/>
            <w:left w:w="108" w:type="dxa"/>
            <w:bottom w:w="0" w:type="dxa"/>
            <w:right w:w="108" w:type="dxa"/>
          </w:tblCellMar>
        </w:tblPrEx>
        <w:tc>
          <w:tcPr>
            <w:tcW w:w="2160" w:type="dxa"/>
          </w:tcPr>
          <w:p w14:paraId="5F46DB7E">
            <w:r>
              <w:t>H.i.p.a.a. Compliance Audit</w:t>
            </w:r>
          </w:p>
        </w:tc>
        <w:tc>
          <w:tcPr>
            <w:tcW w:w="2160" w:type="dxa"/>
          </w:tcPr>
          <w:p w14:paraId="7348D7BD">
            <w:r>
              <w:t>Independent compliance consultant or certified H.i.p.a.a. auditor</w:t>
            </w:r>
          </w:p>
        </w:tc>
        <w:tc>
          <w:tcPr>
            <w:tcW w:w="2160" w:type="dxa"/>
          </w:tcPr>
          <w:p w14:paraId="2057BE05">
            <w:r>
              <w:t>Confirms that the A.i. platform, storage (A.w.s., S3), and staff procedures meet H.i.p.a.a. security and privacy rules.</w:t>
            </w:r>
          </w:p>
        </w:tc>
        <w:tc>
          <w:tcPr>
            <w:tcW w:w="2160" w:type="dxa"/>
          </w:tcPr>
          <w:p w14:paraId="0BC91168">
            <w:r>
              <w:t>Once infrastructure is live and you begin handling client P.h.i.</w:t>
            </w:r>
          </w:p>
        </w:tc>
      </w:tr>
      <w:tr w14:paraId="5E77CEA1">
        <w:tblPrEx>
          <w:tblCellMar>
            <w:top w:w="0" w:type="dxa"/>
            <w:left w:w="108" w:type="dxa"/>
            <w:bottom w:w="0" w:type="dxa"/>
            <w:right w:w="108" w:type="dxa"/>
          </w:tblCellMar>
        </w:tblPrEx>
        <w:tc>
          <w:tcPr>
            <w:tcW w:w="2160" w:type="dxa"/>
          </w:tcPr>
          <w:p w14:paraId="7C6F8AF4">
            <w:r>
              <w:t>C.a.r.f. Alignment Review</w:t>
            </w:r>
          </w:p>
        </w:tc>
        <w:tc>
          <w:tcPr>
            <w:tcW w:w="2160" w:type="dxa"/>
          </w:tcPr>
          <w:p w14:paraId="24CDDC9B">
            <w:r>
              <w:t>Internal audit by Compliance Officer (Product) or external C.a.r.f. specialist</w:t>
            </w:r>
          </w:p>
        </w:tc>
        <w:tc>
          <w:tcPr>
            <w:tcW w:w="2160" w:type="dxa"/>
          </w:tcPr>
          <w:p w14:paraId="0922B8AB">
            <w:r>
              <w:t>Validates that software logic, policy templates, and training modules correctly interpret and map to C.a.r.f. standards.</w:t>
            </w:r>
          </w:p>
        </w:tc>
        <w:tc>
          <w:tcPr>
            <w:tcW w:w="2160" w:type="dxa"/>
          </w:tcPr>
          <w:p w14:paraId="55D90AEA">
            <w:r>
              <w:t>Pre-launch and at every major update to policy database or training engine.</w:t>
            </w:r>
          </w:p>
        </w:tc>
      </w:tr>
      <w:tr w14:paraId="745F2910">
        <w:tblPrEx>
          <w:tblCellMar>
            <w:top w:w="0" w:type="dxa"/>
            <w:left w:w="108" w:type="dxa"/>
            <w:bottom w:w="0" w:type="dxa"/>
            <w:right w:w="108" w:type="dxa"/>
          </w:tblCellMar>
        </w:tblPrEx>
        <w:tc>
          <w:tcPr>
            <w:tcW w:w="2160" w:type="dxa"/>
          </w:tcPr>
          <w:p w14:paraId="7A1D3920">
            <w:r>
              <w:t>Security / Cloud Infrastructure Audit</w:t>
            </w:r>
          </w:p>
        </w:tc>
        <w:tc>
          <w:tcPr>
            <w:tcW w:w="2160" w:type="dxa"/>
          </w:tcPr>
          <w:p w14:paraId="15FA9313">
            <w:r>
              <w:t>Third-party cybersecurity firm or cloud partner (A.w.s. Audit Partner, S</w:t>
            </w:r>
            <w:r>
              <w:rPr>
                <w:rFonts w:hint="default"/>
                <w:lang w:val="en-US"/>
              </w:rPr>
              <w:t>oc</w:t>
            </w:r>
            <w:r>
              <w:t>-2 assessor)</w:t>
            </w:r>
          </w:p>
        </w:tc>
        <w:tc>
          <w:tcPr>
            <w:tcW w:w="2160" w:type="dxa"/>
          </w:tcPr>
          <w:p w14:paraId="0093BC54">
            <w:r>
              <w:t>Reviews access controls, encryption, network security, and backup integrity.</w:t>
            </w:r>
          </w:p>
        </w:tc>
        <w:tc>
          <w:tcPr>
            <w:tcW w:w="2160" w:type="dxa"/>
          </w:tcPr>
          <w:p w14:paraId="46B61E04">
            <w:r>
              <w:t>After backend architecture is stabilized (6–9 months post-M.</w:t>
            </w:r>
            <w:r>
              <w:rPr>
                <w:rFonts w:hint="default"/>
                <w:lang w:val="en-US"/>
              </w:rPr>
              <w:t>v</w:t>
            </w:r>
            <w:r>
              <w:t>.</w:t>
            </w:r>
            <w:r>
              <w:rPr>
                <w:rFonts w:hint="default"/>
                <w:lang w:val="en-US"/>
              </w:rPr>
              <w:t>p</w:t>
            </w:r>
            <w:r>
              <w:t>.).</w:t>
            </w:r>
          </w:p>
        </w:tc>
      </w:tr>
      <w:tr w14:paraId="3C81D795">
        <w:tblPrEx>
          <w:tblCellMar>
            <w:top w:w="0" w:type="dxa"/>
            <w:left w:w="108" w:type="dxa"/>
            <w:bottom w:w="0" w:type="dxa"/>
            <w:right w:w="108" w:type="dxa"/>
          </w:tblCellMar>
        </w:tblPrEx>
        <w:tc>
          <w:tcPr>
            <w:tcW w:w="2160" w:type="dxa"/>
          </w:tcPr>
          <w:p w14:paraId="7C0F1F8E">
            <w:r>
              <w:t>Internal Process Audit</w:t>
            </w:r>
          </w:p>
        </w:tc>
        <w:tc>
          <w:tcPr>
            <w:tcW w:w="2160" w:type="dxa"/>
          </w:tcPr>
          <w:p w14:paraId="78A1DF58">
            <w:r>
              <w:t xml:space="preserve">Conducted by leadership (C.e.o., Engineering, </w:t>
            </w:r>
            <w:r>
              <w:rPr>
                <w:rFonts w:hint="default"/>
                <w:lang w:val="en-US"/>
              </w:rPr>
              <w:t>Product</w:t>
            </w:r>
            <w:r>
              <w:t>.)</w:t>
            </w:r>
          </w:p>
        </w:tc>
        <w:tc>
          <w:tcPr>
            <w:tcW w:w="2160" w:type="dxa"/>
          </w:tcPr>
          <w:p w14:paraId="55802B6B">
            <w:r>
              <w:t>Reviews adherence to internal P&amp;P (governance, document control, role permissions).</w:t>
            </w:r>
          </w:p>
        </w:tc>
        <w:tc>
          <w:tcPr>
            <w:tcW w:w="2160" w:type="dxa"/>
          </w:tcPr>
          <w:p w14:paraId="3C3F5292">
            <w:r>
              <w:t>Quarterly or bi-annually.</w:t>
            </w:r>
          </w:p>
        </w:tc>
      </w:tr>
      <w:tr w14:paraId="69AA1A3B">
        <w:tblPrEx>
          <w:tblCellMar>
            <w:top w:w="0" w:type="dxa"/>
            <w:left w:w="108" w:type="dxa"/>
            <w:bottom w:w="0" w:type="dxa"/>
            <w:right w:w="108" w:type="dxa"/>
          </w:tblCellMar>
        </w:tblPrEx>
        <w:tc>
          <w:tcPr>
            <w:tcW w:w="2160" w:type="dxa"/>
          </w:tcPr>
          <w:p w14:paraId="1EB15F0F">
            <w:r>
              <w:t>Investor / Due-Diligence Audit (future)</w:t>
            </w:r>
          </w:p>
        </w:tc>
        <w:tc>
          <w:tcPr>
            <w:tcW w:w="2160" w:type="dxa"/>
          </w:tcPr>
          <w:p w14:paraId="44811E3B">
            <w:r>
              <w:t>Venture or grant auditors</w:t>
            </w:r>
          </w:p>
        </w:tc>
        <w:tc>
          <w:tcPr>
            <w:tcW w:w="2160" w:type="dxa"/>
          </w:tcPr>
          <w:p w14:paraId="6830A860">
            <w:r>
              <w:t>Verifies compliance maturity, risk management, and readiness to handle institutional clients.</w:t>
            </w:r>
          </w:p>
        </w:tc>
        <w:tc>
          <w:tcPr>
            <w:tcW w:w="2160" w:type="dxa"/>
          </w:tcPr>
          <w:p w14:paraId="5968CAA1">
            <w:r>
              <w:t>When pursuing large contracts or funding rounds.</w:t>
            </w:r>
          </w:p>
        </w:tc>
      </w:tr>
    </w:tbl>
    <w:p w14:paraId="7CDAA143">
      <w:pPr>
        <w:pStyle w:val="3"/>
      </w:pPr>
      <w:r>
        <w:t>3. The Correct Order of Priority</w:t>
      </w:r>
    </w:p>
    <w:p w14:paraId="586905BD">
      <w:r>
        <w:t>For Theraptly’s stage (small team, early traction):</w:t>
      </w:r>
    </w:p>
    <w:p w14:paraId="336337DC">
      <w:r>
        <w:t>1. Internal Readiness Audit (Quarterly): Conduct mock audits of document control, data access, and security.</w:t>
      </w:r>
    </w:p>
    <w:p w14:paraId="046C8E9B">
      <w:r>
        <w:t>2. External H.i.p.a.a. Security Audit: Hire an independent consultant to assess technical and administrative safeguards.</w:t>
      </w:r>
    </w:p>
    <w:p w14:paraId="482E2FD3">
      <w:r>
        <w:t>3. C.a.r.f. Alignment Validation: Work with a C.a.r.f. specialist or retired surveyor to review your database mappings.</w:t>
      </w:r>
    </w:p>
    <w:p w14:paraId="71862A13">
      <w:pPr>
        <w:pStyle w:val="3"/>
      </w:pPr>
      <w:r>
        <w:t>4. Who Should Lead Each</w:t>
      </w:r>
    </w:p>
    <w:tbl>
      <w:tblPr>
        <w:tblStyle w:val="12"/>
        <w:tblW w:w="0" w:type="auto"/>
        <w:tblInd w:w="0" w:type="dxa"/>
        <w:tblLayout w:type="autofit"/>
        <w:tblCellMar>
          <w:top w:w="0" w:type="dxa"/>
          <w:left w:w="108" w:type="dxa"/>
          <w:bottom w:w="0" w:type="dxa"/>
          <w:right w:w="108" w:type="dxa"/>
        </w:tblCellMar>
      </w:tblPr>
      <w:tblGrid>
        <w:gridCol w:w="4320"/>
        <w:gridCol w:w="4320"/>
      </w:tblGrid>
      <w:tr w14:paraId="1F8075AE">
        <w:tblPrEx>
          <w:tblCellMar>
            <w:top w:w="0" w:type="dxa"/>
            <w:left w:w="108" w:type="dxa"/>
            <w:bottom w:w="0" w:type="dxa"/>
            <w:right w:w="108" w:type="dxa"/>
          </w:tblCellMar>
        </w:tblPrEx>
        <w:tc>
          <w:tcPr>
            <w:tcW w:w="4320" w:type="dxa"/>
          </w:tcPr>
          <w:p w14:paraId="543A3B54">
            <w:r>
              <w:t>Lead</w:t>
            </w:r>
          </w:p>
        </w:tc>
        <w:tc>
          <w:tcPr>
            <w:tcW w:w="4320" w:type="dxa"/>
          </w:tcPr>
          <w:p w14:paraId="7E561374">
            <w:r>
              <w:t>Responsibility</w:t>
            </w:r>
          </w:p>
        </w:tc>
      </w:tr>
      <w:tr w14:paraId="3C5CA382">
        <w:tblPrEx>
          <w:tblCellMar>
            <w:top w:w="0" w:type="dxa"/>
            <w:left w:w="108" w:type="dxa"/>
            <w:bottom w:w="0" w:type="dxa"/>
            <w:right w:w="108" w:type="dxa"/>
          </w:tblCellMar>
        </w:tblPrEx>
        <w:tc>
          <w:tcPr>
            <w:tcW w:w="4320" w:type="dxa"/>
          </w:tcPr>
          <w:p w14:paraId="483C4282">
            <w:r>
              <w:t>Product / Compliance Lead</w:t>
            </w:r>
          </w:p>
        </w:tc>
        <w:tc>
          <w:tcPr>
            <w:tcW w:w="4320" w:type="dxa"/>
          </w:tcPr>
          <w:p w14:paraId="59B742F6">
            <w:r>
              <w:t>Prepare internal P&amp;P, manage C.a.r.f. policy mappings, document evidence.</w:t>
            </w:r>
          </w:p>
        </w:tc>
      </w:tr>
      <w:tr w14:paraId="788E7FB1">
        <w:tblPrEx>
          <w:tblCellMar>
            <w:top w:w="0" w:type="dxa"/>
            <w:left w:w="108" w:type="dxa"/>
            <w:bottom w:w="0" w:type="dxa"/>
            <w:right w:w="108" w:type="dxa"/>
          </w:tblCellMar>
        </w:tblPrEx>
        <w:tc>
          <w:tcPr>
            <w:tcW w:w="4320" w:type="dxa"/>
          </w:tcPr>
          <w:p w14:paraId="496D5CB2">
            <w:r>
              <w:t>Engineering Lead</w:t>
            </w:r>
          </w:p>
        </w:tc>
        <w:tc>
          <w:tcPr>
            <w:tcW w:w="4320" w:type="dxa"/>
          </w:tcPr>
          <w:p w14:paraId="25420B53">
            <w:r>
              <w:t>Implement security controls (encryption, access logs, backups).</w:t>
            </w:r>
          </w:p>
        </w:tc>
      </w:tr>
      <w:tr w14:paraId="286B241B">
        <w:tblPrEx>
          <w:tblCellMar>
            <w:top w:w="0" w:type="dxa"/>
            <w:left w:w="108" w:type="dxa"/>
            <w:bottom w:w="0" w:type="dxa"/>
            <w:right w:w="108" w:type="dxa"/>
          </w:tblCellMar>
        </w:tblPrEx>
        <w:tc>
          <w:tcPr>
            <w:tcW w:w="4320" w:type="dxa"/>
          </w:tcPr>
          <w:p w14:paraId="2E888BC8">
            <w:r>
              <w:t>M.L. Engineer</w:t>
            </w:r>
          </w:p>
        </w:tc>
        <w:tc>
          <w:tcPr>
            <w:tcW w:w="4320" w:type="dxa"/>
          </w:tcPr>
          <w:p w14:paraId="138A369F">
            <w:r>
              <w:t>Document A.i. data sources and model-training procedures for transparency.</w:t>
            </w:r>
          </w:p>
        </w:tc>
      </w:tr>
      <w:tr w14:paraId="5AF98FD4">
        <w:tblPrEx>
          <w:tblCellMar>
            <w:top w:w="0" w:type="dxa"/>
            <w:left w:w="108" w:type="dxa"/>
            <w:bottom w:w="0" w:type="dxa"/>
            <w:right w:w="108" w:type="dxa"/>
          </w:tblCellMar>
        </w:tblPrEx>
        <w:tc>
          <w:tcPr>
            <w:tcW w:w="4320" w:type="dxa"/>
          </w:tcPr>
          <w:p w14:paraId="51929EED">
            <w:r>
              <w:t>C.e.o.</w:t>
            </w:r>
          </w:p>
        </w:tc>
        <w:tc>
          <w:tcPr>
            <w:tcW w:w="4320" w:type="dxa"/>
          </w:tcPr>
          <w:p w14:paraId="41D7C7AB">
            <w:r>
              <w:t>Approve and sign off on audit readiness reports, represent company during audits.</w:t>
            </w:r>
          </w:p>
        </w:tc>
      </w:tr>
    </w:tbl>
    <w:p w14:paraId="70EA396B">
      <w:pPr>
        <w:pStyle w:val="3"/>
      </w:pPr>
      <w:r>
        <w:t>5. What “Audit-Ready” Means for Theraptly</w:t>
      </w:r>
    </w:p>
    <w:p w14:paraId="2AFC19FD">
      <w:r>
        <w:t>• Updated P&amp;P library (the ones previously defined).</w:t>
      </w:r>
    </w:p>
    <w:p w14:paraId="09590223">
      <w:r>
        <w:t>• Version-controlled evidence — logs, screenshots, training records, and signed policy reviews.</w:t>
      </w:r>
    </w:p>
    <w:p w14:paraId="2AB86EB5">
      <w:r>
        <w:t>• Access logs &amp; encryption proofs for all sensitive data.</w:t>
      </w:r>
    </w:p>
    <w:p w14:paraId="325C074A">
      <w:r>
        <w:t>• Incident logbook — even if “no incidents.”</w:t>
      </w:r>
    </w:p>
    <w:p w14:paraId="7F64A6B2">
      <w:r>
        <w:t>• Quarterly internal audit reports signed by the C.e.o.</w:t>
      </w:r>
    </w:p>
    <w:p w14:paraId="77B3FDD8">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B713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Timileyin Olanike</cp:lastModifiedBy>
  <dcterms:modified xsi:type="dcterms:W3CDTF">2025-10-27T21:41:32Z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5771AF2F124843DE90B9B0A2E3257064_12</vt:lpwstr>
  </property>
</Properties>
</file>