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Risk Analysis Checklist for Theraptly Platform</w:t>
      </w:r>
    </w:p>
    <w:p>
      <w:pPr>
        <w:jc w:val="center"/>
      </w:pPr>
      <w:r>
        <w:rPr>
          <w:i/>
          <w:sz w:val="20"/>
        </w:rPr>
        <w:t>Prepared for internal platform assessment | 2026-01-27</w:t>
      </w:r>
    </w:p>
    <w:p/>
    <w:p>
      <w:r>
        <w:rPr>
          <w:b/>
          <w:sz w:val="28"/>
        </w:rPr>
        <w:t>Background</w:t>
      </w:r>
    </w:p>
    <w:p>
      <w:r>
        <w:t>Theraptly is an AI-powered compliance platform designed to help behavioral-health facilities meet CARF and HIPAA standards. The platform supports uploading policy documents (PDF, DOC, DOCX), organizing them into compliance categories, and generating AI-driven reports that highlight gaps and recommendations ahead of audits. Because the platform may process protected health information (PHI) and other sensitive operational data, the risk analysis must cover regulatory compliance, data protection, AI-related risks, third-party dependencies, and operational controls.</w:t>
      </w:r>
    </w:p>
    <w:p/>
    <w:p>
      <w:r>
        <w:rPr>
          <w:b/>
          <w:sz w:val="28"/>
        </w:rPr>
        <w:t>Key Risk Areas and Checklist</w:t>
      </w:r>
    </w:p>
    <w:p>
      <w:r>
        <w:t>Use this table to run a structured risk analysis of the Theraptly platform. Capture evidence for each check (screenshots, configurations, policy excerpts, logs) and record outcomes in a risk register.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67"/>
            <w:shd w:val="clear" w:color="auto" w:fill="F2F2F2"/>
            <w:vAlign w:val="center"/>
          </w:tcPr>
          <w:p>
            <w:r>
              <w:rPr>
                <w:b/>
                <w:sz w:val="20"/>
              </w:rPr>
              <w:t>#</w:t>
            </w:r>
          </w:p>
        </w:tc>
        <w:tc>
          <w:tcPr>
            <w:tcW w:type="dxa" w:w="2268"/>
            <w:shd w:val="clear" w:color="auto" w:fill="F2F2F2"/>
            <w:vAlign w:val="center"/>
          </w:tcPr>
          <w:p>
            <w:r>
              <w:rPr>
                <w:b/>
                <w:sz w:val="20"/>
              </w:rPr>
              <w:t>Risk area</w:t>
            </w:r>
          </w:p>
        </w:tc>
        <w:tc>
          <w:tcPr>
            <w:tcW w:type="dxa" w:w="5953"/>
            <w:shd w:val="clear" w:color="auto" w:fill="F2F2F2"/>
            <w:vAlign w:val="center"/>
          </w:tcPr>
          <w:p>
            <w:r>
              <w:rPr>
                <w:b/>
                <w:sz w:val="20"/>
              </w:rPr>
              <w:t>Checks and action items</w:t>
            </w:r>
          </w:p>
        </w:tc>
        <w:tc>
          <w:tcPr>
            <w:tcW w:type="dxa" w:w="2268"/>
            <w:shd w:val="clear" w:color="auto" w:fill="F2F2F2"/>
            <w:vAlign w:val="center"/>
          </w:tcPr>
          <w:p>
            <w:r>
              <w:rPr>
                <w:b/>
                <w:sz w:val="20"/>
              </w:rPr>
              <w:t>Assigned to</w:t>
            </w:r>
          </w:p>
        </w:tc>
      </w:tr>
      <w:tr>
        <w:tc>
          <w:tcPr>
            <w:tcW w:type="dxa" w:w="2436"/>
            <w:vAlign w:val="top"/>
          </w:tcPr>
          <w:p>
            <w:r>
              <w:rPr>
                <w:sz w:val="20"/>
              </w:rPr>
              <w:t>1</w:t>
            </w:r>
          </w:p>
        </w:tc>
        <w:tc>
          <w:tcPr>
            <w:tcW w:type="dxa" w:w="2436"/>
          </w:tcPr>
          <w:p>
            <w:r>
              <w:rPr>
                <w:b/>
                <w:sz w:val="20"/>
              </w:rPr>
              <w:t>Data inventory and PHI mapping</w:t>
            </w:r>
          </w:p>
        </w:tc>
        <w:tc>
          <w:tcPr>
            <w:tcW w:type="dxa" w:w="2436"/>
            <w:vAlign w:val="top"/>
          </w:tcPr>
          <w:p>
            <w:r/>
          </w:p>
          <w:p>
            <w:pPr>
              <w:pStyle w:val="ListBullet"/>
            </w:pPr>
            <w:r>
              <w:rPr>
                <w:sz w:val="20"/>
              </w:rPr>
              <w:t>Identify data collected: Document all information Theraptly collects (user account details, uploaded policies, metadata). Determine whether uploaded documents contain PHI or personally identifiable information.</w:t>
            </w:r>
          </w:p>
          <w:p>
            <w:pPr>
              <w:pStyle w:val="ListBullet"/>
            </w:pPr>
            <w:r>
              <w:rPr>
                <w:sz w:val="20"/>
              </w:rPr>
              <w:t>Map data flows: Outline how documents and metadata move through the platform (upload -&gt; AI analysis -&gt; storage -&gt; download). Verify that only necessary data is processed and that PHI is minimized.</w:t>
            </w:r>
          </w:p>
        </w:tc>
        <w:tc>
          <w:tcPr>
            <w:tcW w:type="dxa" w:w="2436"/>
            <w:vAlign w:val="top"/>
          </w:tcPr>
          <w:p>
            <w:r>
              <w:rPr>
                <w:sz w:val="20"/>
              </w:rPr>
              <w:t>Mr. Seyi (lead); You provide sample policies for testing</w:t>
            </w:r>
          </w:p>
        </w:tc>
      </w:tr>
      <w:tr>
        <w:tc>
          <w:tcPr>
            <w:tcW w:type="dxa" w:w="2436"/>
            <w:vAlign w:val="top"/>
          </w:tcPr>
          <w:p>
            <w:r>
              <w:rPr>
                <w:sz w:val="20"/>
              </w:rPr>
              <w:t>2</w:t>
            </w:r>
          </w:p>
        </w:tc>
        <w:tc>
          <w:tcPr>
            <w:tcW w:type="dxa" w:w="2436"/>
          </w:tcPr>
          <w:p>
            <w:r>
              <w:rPr>
                <w:b/>
                <w:sz w:val="20"/>
              </w:rPr>
              <w:t>Access control and authentication</w:t>
            </w:r>
          </w:p>
        </w:tc>
        <w:tc>
          <w:tcPr>
            <w:tcW w:type="dxa" w:w="2436"/>
            <w:vAlign w:val="top"/>
          </w:tcPr>
          <w:p>
            <w:r/>
          </w:p>
          <w:p>
            <w:pPr>
              <w:pStyle w:val="ListBullet"/>
            </w:pPr>
            <w:r>
              <w:rPr>
                <w:sz w:val="20"/>
              </w:rPr>
              <w:t>Role-based access control (RBAC): Confirm that Theraptly supports RBAC so only authorized users can view or edit certain documents. Evaluate permission granularity (admin vs staff).</w:t>
            </w:r>
          </w:p>
          <w:p>
            <w:pPr>
              <w:pStyle w:val="ListBullet"/>
            </w:pPr>
            <w:r>
              <w:rPr>
                <w:sz w:val="20"/>
              </w:rPr>
              <w:t>Password and MFA: Test password complexity requirements and check whether multi-factor authentication (MFA) is available and enforceable.</w:t>
            </w:r>
          </w:p>
          <w:p>
            <w:pPr>
              <w:pStyle w:val="ListBullet"/>
            </w:pPr>
            <w:r>
              <w:rPr>
                <w:sz w:val="20"/>
              </w:rPr>
              <w:t>Session management: Check for automatic session timeouts, secure cookies, and proper logout behavior.</w:t>
            </w:r>
          </w:p>
        </w:tc>
        <w:tc>
          <w:tcPr>
            <w:tcW w:type="dxa" w:w="2436"/>
            <w:vAlign w:val="top"/>
          </w:tcPr>
          <w:p>
            <w:r>
              <w:rPr>
                <w:sz w:val="20"/>
              </w:rPr>
              <w:t>You test platform behavior; Mr. Seyi reviews documentation</w:t>
            </w:r>
          </w:p>
        </w:tc>
      </w:tr>
      <w:tr>
        <w:tc>
          <w:tcPr>
            <w:tcW w:type="dxa" w:w="2436"/>
            <w:vAlign w:val="top"/>
          </w:tcPr>
          <w:p>
            <w:r>
              <w:rPr>
                <w:sz w:val="20"/>
              </w:rPr>
              <w:t>3</w:t>
            </w:r>
          </w:p>
        </w:tc>
        <w:tc>
          <w:tcPr>
            <w:tcW w:type="dxa" w:w="2436"/>
          </w:tcPr>
          <w:p>
            <w:r>
              <w:rPr>
                <w:b/>
                <w:sz w:val="20"/>
              </w:rPr>
              <w:t>Single sign-on (SSO) integration</w:t>
            </w:r>
          </w:p>
        </w:tc>
        <w:tc>
          <w:tcPr>
            <w:tcW w:type="dxa" w:w="2436"/>
            <w:vAlign w:val="top"/>
          </w:tcPr>
          <w:p>
            <w:r/>
          </w:p>
          <w:p>
            <w:pPr>
              <w:pStyle w:val="ListBullet"/>
            </w:pPr>
            <w:r>
              <w:rPr>
                <w:sz w:val="20"/>
              </w:rPr>
              <w:t>Verify SSO integration methods (SAML, OAuth/OIDC) and confirm secure configuration (strong authentication, MFA enforcement, correct token/session handling, and least-privilege scopes).</w:t>
            </w:r>
          </w:p>
        </w:tc>
        <w:tc>
          <w:tcPr>
            <w:tcW w:type="dxa" w:w="2436"/>
            <w:vAlign w:val="top"/>
          </w:tcPr>
          <w:p>
            <w:r>
              <w:rPr>
                <w:sz w:val="20"/>
              </w:rPr>
              <w:t>Mr. Seyi</w:t>
            </w:r>
          </w:p>
        </w:tc>
      </w:tr>
      <w:tr>
        <w:tc>
          <w:tcPr>
            <w:tcW w:type="dxa" w:w="2436"/>
            <w:vAlign w:val="top"/>
          </w:tcPr>
          <w:p>
            <w:r>
              <w:rPr>
                <w:sz w:val="20"/>
              </w:rPr>
              <w:t>4</w:t>
            </w:r>
          </w:p>
        </w:tc>
        <w:tc>
          <w:tcPr>
            <w:tcW w:type="dxa" w:w="2436"/>
          </w:tcPr>
          <w:p>
            <w:r>
              <w:rPr>
                <w:b/>
                <w:sz w:val="20"/>
              </w:rPr>
              <w:t>Encryption and secure storage</w:t>
            </w:r>
          </w:p>
        </w:tc>
        <w:tc>
          <w:tcPr>
            <w:tcW w:type="dxa" w:w="2436"/>
            <w:vAlign w:val="top"/>
          </w:tcPr>
          <w:p>
            <w:r/>
          </w:p>
          <w:p>
            <w:pPr>
              <w:pStyle w:val="ListBullet"/>
            </w:pPr>
            <w:r>
              <w:rPr>
                <w:sz w:val="20"/>
              </w:rPr>
              <w:t>Verify encryption in transit and at rest (TLS everywhere; encryption of stored files and databases). Confirm key management approach (rotation, access restrictions, separation of duties).</w:t>
            </w:r>
          </w:p>
          <w:p>
            <w:pPr>
              <w:pStyle w:val="ListBullet"/>
            </w:pPr>
            <w:r>
              <w:rPr>
                <w:sz w:val="20"/>
              </w:rPr>
              <w:t>Confirm data residency and hosting controls (where data is stored, availability targets). Obtain evidence of relevant security attestations (e.g., SOC 2, ISO 27001) if claimed.</w:t>
            </w:r>
          </w:p>
        </w:tc>
        <w:tc>
          <w:tcPr>
            <w:tcW w:type="dxa" w:w="2436"/>
            <w:vAlign w:val="top"/>
          </w:tcPr>
          <w:p>
            <w:r>
              <w:rPr>
                <w:sz w:val="20"/>
              </w:rPr>
              <w:t>Mr. Seyi</w:t>
            </w:r>
          </w:p>
        </w:tc>
      </w:tr>
      <w:tr>
        <w:tc>
          <w:tcPr>
            <w:tcW w:type="dxa" w:w="2436"/>
            <w:vAlign w:val="top"/>
          </w:tcPr>
          <w:p>
            <w:r>
              <w:rPr>
                <w:sz w:val="20"/>
              </w:rPr>
              <w:t>5</w:t>
            </w:r>
          </w:p>
        </w:tc>
        <w:tc>
          <w:tcPr>
            <w:tcW w:type="dxa" w:w="2436"/>
          </w:tcPr>
          <w:p>
            <w:r>
              <w:rPr>
                <w:b/>
                <w:sz w:val="20"/>
              </w:rPr>
              <w:t>HIPAA and CARF compliance</w:t>
            </w:r>
          </w:p>
        </w:tc>
        <w:tc>
          <w:tcPr>
            <w:tcW w:type="dxa" w:w="2436"/>
            <w:vAlign w:val="top"/>
          </w:tcPr>
          <w:p>
            <w:r/>
          </w:p>
          <w:p>
            <w:pPr>
              <w:pStyle w:val="ListBullet"/>
            </w:pPr>
            <w:r>
              <w:rPr>
                <w:sz w:val="20"/>
              </w:rPr>
              <w:t>Business Associate Agreement (BAA): Ensure a BAA is signed. Review for permitted uses/disclosures, required safeguards, breach notification duties, subcontractor flow-down clauses, and data return/destruction terms.</w:t>
            </w:r>
          </w:p>
          <w:p>
            <w:pPr>
              <w:pStyle w:val="ListBullet"/>
            </w:pPr>
            <w:r>
              <w:rPr>
                <w:sz w:val="20"/>
              </w:rPr>
              <w:t>Minimum necessary access: Confirm the platform limits PHI access and only processes what is required for analysis.</w:t>
            </w:r>
          </w:p>
          <w:p>
            <w:pPr>
              <w:pStyle w:val="ListBullet"/>
            </w:pPr>
            <w:r>
              <w:rPr>
                <w:sz w:val="20"/>
              </w:rPr>
              <w:t>CARF coverage: Map Theraptly’s categories (Policies and Procedures, Personnel and Workforce Management, Quality Management and Performance Improvement, Facility Health and Safety, Financial and Administrative, Program-Specific Compliance) to CARF standards to ensure coverage.</w:t>
            </w:r>
          </w:p>
        </w:tc>
        <w:tc>
          <w:tcPr>
            <w:tcW w:type="dxa" w:w="2436"/>
            <w:vAlign w:val="top"/>
          </w:tcPr>
          <w:p>
            <w:r>
              <w:rPr>
                <w:sz w:val="20"/>
              </w:rPr>
              <w:t>Mr. Seyi</w:t>
            </w:r>
          </w:p>
        </w:tc>
      </w:tr>
      <w:tr>
        <w:tc>
          <w:tcPr>
            <w:tcW w:type="dxa" w:w="2436"/>
            <w:vAlign w:val="top"/>
          </w:tcPr>
          <w:p>
            <w:r>
              <w:rPr>
                <w:sz w:val="20"/>
              </w:rPr>
              <w:t>6</w:t>
            </w:r>
          </w:p>
        </w:tc>
        <w:tc>
          <w:tcPr>
            <w:tcW w:type="dxa" w:w="2436"/>
          </w:tcPr>
          <w:p>
            <w:r>
              <w:rPr>
                <w:b/>
                <w:sz w:val="20"/>
              </w:rPr>
              <w:t>AI model transparency and accuracy</w:t>
            </w:r>
          </w:p>
        </w:tc>
        <w:tc>
          <w:tcPr>
            <w:tcW w:type="dxa" w:w="2436"/>
            <w:vAlign w:val="top"/>
          </w:tcPr>
          <w:p>
            <w:r/>
          </w:p>
          <w:p>
            <w:pPr>
              <w:pStyle w:val="ListBullet"/>
            </w:pPr>
            <w:r>
              <w:rPr>
                <w:sz w:val="20"/>
              </w:rPr>
              <w:t>Assess AI output quality: Upload sample policies and evaluate whether the AI report correctly identifies compliance gaps. Record false positives/negatives and potential bias patterns.</w:t>
            </w:r>
          </w:p>
          <w:p>
            <w:pPr>
              <w:pStyle w:val="ListBullet"/>
            </w:pPr>
            <w:r>
              <w:rPr>
                <w:sz w:val="20"/>
              </w:rPr>
              <w:t>Explainability and data use: Identify models used, what data is sent to the model provider, and whether any data is used for training (should be opt-in, contractually controlled, and disclosed).</w:t>
            </w:r>
          </w:p>
          <w:p>
            <w:pPr>
              <w:pStyle w:val="ListBullet"/>
            </w:pPr>
            <w:r>
              <w:rPr>
                <w:sz w:val="20"/>
              </w:rPr>
              <w:t>Human oversight: Confirm the platform supports human review, edits, and overrides of AI recommendations.</w:t>
            </w:r>
          </w:p>
        </w:tc>
        <w:tc>
          <w:tcPr>
            <w:tcW w:type="dxa" w:w="2436"/>
            <w:vAlign w:val="top"/>
          </w:tcPr>
          <w:p>
            <w:r>
              <w:rPr>
                <w:sz w:val="20"/>
              </w:rPr>
              <w:t>You (testing) and Mr. Seyi (model and vendor review)</w:t>
            </w:r>
          </w:p>
        </w:tc>
      </w:tr>
      <w:tr>
        <w:tc>
          <w:tcPr>
            <w:tcW w:type="dxa" w:w="2436"/>
            <w:vAlign w:val="top"/>
          </w:tcPr>
          <w:p>
            <w:r>
              <w:rPr>
                <w:sz w:val="20"/>
              </w:rPr>
              <w:t>7</w:t>
            </w:r>
          </w:p>
        </w:tc>
        <w:tc>
          <w:tcPr>
            <w:tcW w:type="dxa" w:w="2436"/>
          </w:tcPr>
          <w:p>
            <w:r>
              <w:rPr>
                <w:b/>
                <w:sz w:val="20"/>
              </w:rPr>
              <w:t>Document management and lifecycle</w:t>
            </w:r>
          </w:p>
        </w:tc>
        <w:tc>
          <w:tcPr>
            <w:tcW w:type="dxa" w:w="2436"/>
            <w:vAlign w:val="top"/>
          </w:tcPr>
          <w:p>
            <w:r/>
          </w:p>
          <w:p>
            <w:pPr>
              <w:pStyle w:val="ListBullet"/>
            </w:pPr>
            <w:r>
              <w:rPr>
                <w:sz w:val="20"/>
              </w:rPr>
              <w:t>File scanning: Verify uploaded documents are scanned for malware before processing and storage.</w:t>
            </w:r>
          </w:p>
          <w:p>
            <w:pPr>
              <w:pStyle w:val="ListBullet"/>
            </w:pPr>
            <w:r>
              <w:rPr>
                <w:sz w:val="20"/>
              </w:rPr>
              <w:t>Version control: Check whether Theraptly maintains version history of policies and supports rollback.</w:t>
            </w:r>
          </w:p>
          <w:p>
            <w:pPr>
              <w:pStyle w:val="ListBullet"/>
            </w:pPr>
            <w:r>
              <w:rPr>
                <w:sz w:val="20"/>
              </w:rPr>
              <w:t>Retention and deletion: Determine retention periods, deletion functionality, and secure disposal approach.</w:t>
            </w:r>
          </w:p>
        </w:tc>
        <w:tc>
          <w:tcPr>
            <w:tcW w:type="dxa" w:w="2436"/>
            <w:vAlign w:val="top"/>
          </w:tcPr>
          <w:p>
            <w:r>
              <w:rPr>
                <w:sz w:val="20"/>
              </w:rPr>
              <w:t>You test functions; Mr. Seyi reviews policies</w:t>
            </w:r>
          </w:p>
        </w:tc>
      </w:tr>
      <w:tr>
        <w:tc>
          <w:tcPr>
            <w:tcW w:type="dxa" w:w="2436"/>
            <w:vAlign w:val="top"/>
          </w:tcPr>
          <w:p>
            <w:r>
              <w:rPr>
                <w:sz w:val="20"/>
              </w:rPr>
              <w:t>8</w:t>
            </w:r>
          </w:p>
        </w:tc>
        <w:tc>
          <w:tcPr>
            <w:tcW w:type="dxa" w:w="2436"/>
          </w:tcPr>
          <w:p>
            <w:r>
              <w:rPr>
                <w:b/>
                <w:sz w:val="20"/>
              </w:rPr>
              <w:t>Audit logging and monitoring</w:t>
            </w:r>
          </w:p>
        </w:tc>
        <w:tc>
          <w:tcPr>
            <w:tcW w:type="dxa" w:w="2436"/>
            <w:vAlign w:val="top"/>
          </w:tcPr>
          <w:p>
            <w:r/>
          </w:p>
          <w:p>
            <w:pPr>
              <w:pStyle w:val="ListBullet"/>
            </w:pPr>
            <w:r>
              <w:rPr>
                <w:sz w:val="20"/>
              </w:rPr>
              <w:t>Confirm audit logs exist for uploads, downloads, user access/actions, and AI-generated outputs. Logs should include who, what, when, and where (e.g., IP/device) as appropriate.</w:t>
            </w:r>
          </w:p>
          <w:p>
            <w:pPr>
              <w:pStyle w:val="ListBullet"/>
            </w:pPr>
            <w:r>
              <w:rPr>
                <w:sz w:val="20"/>
              </w:rPr>
              <w:t>Confirm log integrity protections (access controls, tamper resistance) and that regular reviews are performed with follow-up workflows.</w:t>
            </w:r>
          </w:p>
        </w:tc>
        <w:tc>
          <w:tcPr>
            <w:tcW w:type="dxa" w:w="2436"/>
            <w:vAlign w:val="top"/>
          </w:tcPr>
          <w:p>
            <w:r>
              <w:rPr>
                <w:sz w:val="20"/>
              </w:rPr>
              <w:t>Mr. Seyi</w:t>
            </w:r>
          </w:p>
        </w:tc>
      </w:tr>
      <w:tr>
        <w:tc>
          <w:tcPr>
            <w:tcW w:type="dxa" w:w="2436"/>
            <w:vAlign w:val="top"/>
          </w:tcPr>
          <w:p>
            <w:r>
              <w:rPr>
                <w:sz w:val="20"/>
              </w:rPr>
              <w:t>9</w:t>
            </w:r>
          </w:p>
        </w:tc>
        <w:tc>
          <w:tcPr>
            <w:tcW w:type="dxa" w:w="2436"/>
          </w:tcPr>
          <w:p>
            <w:r>
              <w:rPr>
                <w:b/>
                <w:sz w:val="20"/>
              </w:rPr>
              <w:t>Incident response and breach notification</w:t>
            </w:r>
          </w:p>
        </w:tc>
        <w:tc>
          <w:tcPr>
            <w:tcW w:type="dxa" w:w="2436"/>
            <w:vAlign w:val="top"/>
          </w:tcPr>
          <w:p>
            <w:r/>
          </w:p>
          <w:p>
            <w:pPr>
              <w:pStyle w:val="ListBullet"/>
            </w:pPr>
            <w:r>
              <w:rPr>
                <w:sz w:val="20"/>
              </w:rPr>
              <w:t>Review incident response plan and confirm it includes detection, containment, investigation, evidence preservation, and notification steps relevant to HIPAA.</w:t>
            </w:r>
          </w:p>
          <w:p>
            <w:pPr>
              <w:pStyle w:val="ListBullet"/>
            </w:pPr>
            <w:r>
              <w:rPr>
                <w:sz w:val="20"/>
              </w:rPr>
              <w:t>Confirm mechanisms for users to report incidents and for internal escalation.</w:t>
            </w:r>
          </w:p>
          <w:p>
            <w:pPr>
              <w:pStyle w:val="ListBullet"/>
            </w:pPr>
            <w:r>
              <w:rPr>
                <w:sz w:val="20"/>
              </w:rPr>
              <w:t>Verify notification timelines and responsibilities (including subcontractor notification requirements).</w:t>
            </w:r>
          </w:p>
        </w:tc>
        <w:tc>
          <w:tcPr>
            <w:tcW w:type="dxa" w:w="2436"/>
            <w:vAlign w:val="top"/>
          </w:tcPr>
          <w:p>
            <w:r>
              <w:rPr>
                <w:sz w:val="20"/>
              </w:rPr>
              <w:t>Mr. Seyi</w:t>
            </w:r>
          </w:p>
        </w:tc>
      </w:tr>
      <w:tr>
        <w:tc>
          <w:tcPr>
            <w:tcW w:type="dxa" w:w="2436"/>
            <w:vAlign w:val="top"/>
          </w:tcPr>
          <w:p>
            <w:r>
              <w:rPr>
                <w:sz w:val="20"/>
              </w:rPr>
              <w:t>10</w:t>
            </w:r>
          </w:p>
        </w:tc>
        <w:tc>
          <w:tcPr>
            <w:tcW w:type="dxa" w:w="2436"/>
          </w:tcPr>
          <w:p>
            <w:r>
              <w:rPr>
                <w:b/>
                <w:sz w:val="20"/>
              </w:rPr>
              <w:t>Third-party and vendor management</w:t>
            </w:r>
          </w:p>
        </w:tc>
        <w:tc>
          <w:tcPr>
            <w:tcW w:type="dxa" w:w="2436"/>
            <w:vAlign w:val="top"/>
          </w:tcPr>
          <w:p>
            <w:r/>
          </w:p>
          <w:p>
            <w:pPr>
              <w:pStyle w:val="ListBullet"/>
            </w:pPr>
            <w:r>
              <w:rPr>
                <w:sz w:val="20"/>
              </w:rPr>
              <w:t>Identify all subprocessors (cloud hosting, AI services, email/SMS, analytics). Verify security posture and contracts (including BAA flow-down where PHI is involved).</w:t>
            </w:r>
          </w:p>
          <w:p>
            <w:pPr>
              <w:pStyle w:val="ListBullet"/>
            </w:pPr>
            <w:r>
              <w:rPr>
                <w:sz w:val="20"/>
              </w:rPr>
              <w:t>Collect vendor assurance evidence (SOC reports, penetration tests, security whitepapers) and track renewal dates.</w:t>
            </w:r>
          </w:p>
          <w:p>
            <w:pPr>
              <w:pStyle w:val="ListBullet"/>
            </w:pPr>
            <w:r>
              <w:rPr>
                <w:sz w:val="20"/>
              </w:rPr>
              <w:t>Establish continuous monitoring triggers (material changes, incidents, new vendors).</w:t>
            </w:r>
          </w:p>
        </w:tc>
        <w:tc>
          <w:tcPr>
            <w:tcW w:type="dxa" w:w="2436"/>
            <w:vAlign w:val="top"/>
          </w:tcPr>
          <w:p>
            <w:r>
              <w:rPr>
                <w:sz w:val="20"/>
              </w:rPr>
              <w:t>Mr. Seyi</w:t>
            </w:r>
          </w:p>
        </w:tc>
      </w:tr>
      <w:tr>
        <w:tc>
          <w:tcPr>
            <w:tcW w:type="dxa" w:w="2436"/>
            <w:vAlign w:val="top"/>
          </w:tcPr>
          <w:p>
            <w:r>
              <w:rPr>
                <w:sz w:val="20"/>
              </w:rPr>
              <w:t>11</w:t>
            </w:r>
          </w:p>
        </w:tc>
        <w:tc>
          <w:tcPr>
            <w:tcW w:type="dxa" w:w="2436"/>
          </w:tcPr>
          <w:p>
            <w:r>
              <w:rPr>
                <w:b/>
                <w:sz w:val="20"/>
              </w:rPr>
              <w:t>Governance, policies, and procedures</w:t>
            </w:r>
          </w:p>
        </w:tc>
        <w:tc>
          <w:tcPr>
            <w:tcW w:type="dxa" w:w="2436"/>
            <w:vAlign w:val="top"/>
          </w:tcPr>
          <w:p>
            <w:r/>
          </w:p>
          <w:p>
            <w:pPr>
              <w:pStyle w:val="ListBullet"/>
            </w:pPr>
            <w:r>
              <w:rPr>
                <w:sz w:val="20"/>
              </w:rPr>
              <w:t>Confirm policies are documented, accessible, and version-controlled (security, privacy, access control, change management, incident response, retention).</w:t>
            </w:r>
          </w:p>
          <w:p>
            <w:pPr>
              <w:pStyle w:val="ListBullet"/>
            </w:pPr>
            <w:r>
              <w:rPr>
                <w:sz w:val="20"/>
              </w:rPr>
              <w:t>Verify operational procedures for onboarding, user provisioning, document upload/review, and approvals.</w:t>
            </w:r>
          </w:p>
          <w:p>
            <w:pPr>
              <w:pStyle w:val="ListBullet"/>
            </w:pPr>
            <w:r>
              <w:rPr>
                <w:sz w:val="20"/>
              </w:rPr>
              <w:t>Confirm there is an owner for each policy and a regular review cadence.</w:t>
            </w:r>
          </w:p>
        </w:tc>
        <w:tc>
          <w:tcPr>
            <w:tcW w:type="dxa" w:w="2436"/>
            <w:vAlign w:val="top"/>
          </w:tcPr>
          <w:p>
            <w:r>
              <w:rPr>
                <w:sz w:val="20"/>
              </w:rPr>
              <w:t>Mr. Seyi</w:t>
            </w:r>
          </w:p>
        </w:tc>
      </w:tr>
      <w:tr>
        <w:tc>
          <w:tcPr>
            <w:tcW w:type="dxa" w:w="2436"/>
            <w:vAlign w:val="top"/>
          </w:tcPr>
          <w:p>
            <w:r>
              <w:rPr>
                <w:sz w:val="20"/>
              </w:rPr>
              <w:t>12</w:t>
            </w:r>
          </w:p>
        </w:tc>
        <w:tc>
          <w:tcPr>
            <w:tcW w:type="dxa" w:w="2436"/>
          </w:tcPr>
          <w:p>
            <w:r>
              <w:rPr>
                <w:b/>
                <w:sz w:val="20"/>
              </w:rPr>
              <w:t>Training and awareness</w:t>
            </w:r>
          </w:p>
        </w:tc>
        <w:tc>
          <w:tcPr>
            <w:tcW w:type="dxa" w:w="2436"/>
            <w:vAlign w:val="top"/>
          </w:tcPr>
          <w:p>
            <w:r/>
          </w:p>
          <w:p>
            <w:pPr>
              <w:pStyle w:val="ListBullet"/>
            </w:pPr>
            <w:r>
              <w:rPr>
                <w:sz w:val="20"/>
              </w:rPr>
              <w:t>Ensure role-based training exists for staff who use Theraptly (HIPAA basics, platform handling of sensitive data, secure practices).</w:t>
            </w:r>
          </w:p>
          <w:p>
            <w:pPr>
              <w:pStyle w:val="ListBullet"/>
            </w:pPr>
            <w:r>
              <w:rPr>
                <w:sz w:val="20"/>
              </w:rPr>
              <w:t>If using a training module inside Theraptly, confirm it can track completion, attestations, and evidence exports.</w:t>
            </w:r>
          </w:p>
        </w:tc>
        <w:tc>
          <w:tcPr>
            <w:tcW w:type="dxa" w:w="2436"/>
            <w:vAlign w:val="top"/>
          </w:tcPr>
          <w:p>
            <w:r>
              <w:rPr>
                <w:sz w:val="20"/>
              </w:rPr>
              <w:t>You coordinate training; Mr. Seyi validates coverage</w:t>
            </w:r>
          </w:p>
        </w:tc>
      </w:tr>
      <w:tr>
        <w:tc>
          <w:tcPr>
            <w:tcW w:type="dxa" w:w="2436"/>
            <w:vAlign w:val="top"/>
          </w:tcPr>
          <w:p>
            <w:r>
              <w:rPr>
                <w:sz w:val="20"/>
              </w:rPr>
              <w:t>13</w:t>
            </w:r>
          </w:p>
        </w:tc>
        <w:tc>
          <w:tcPr>
            <w:tcW w:type="dxa" w:w="2436"/>
          </w:tcPr>
          <w:p>
            <w:r>
              <w:rPr>
                <w:b/>
                <w:sz w:val="20"/>
              </w:rPr>
              <w:t>Usability and user experience</w:t>
            </w:r>
          </w:p>
        </w:tc>
        <w:tc>
          <w:tcPr>
            <w:tcW w:type="dxa" w:w="2436"/>
            <w:vAlign w:val="top"/>
          </w:tcPr>
          <w:p>
            <w:r/>
          </w:p>
          <w:p>
            <w:pPr>
              <w:pStyle w:val="ListBullet"/>
            </w:pPr>
            <w:r>
              <w:rPr>
                <w:sz w:val="20"/>
              </w:rPr>
              <w:t>Assess whether the interface reduces cognitive load for staff and makes compliance tasks straightforward (upload, review, export).</w:t>
            </w:r>
          </w:p>
          <w:p>
            <w:pPr>
              <w:pStyle w:val="ListBullet"/>
            </w:pPr>
            <w:r>
              <w:rPr>
                <w:sz w:val="20"/>
              </w:rPr>
              <w:t>Collect feedback and document friction points.</w:t>
            </w:r>
          </w:p>
          <w:p>
            <w:pPr>
              <w:pStyle w:val="ListBullet"/>
            </w:pPr>
            <w:r>
              <w:rPr>
                <w:sz w:val="20"/>
              </w:rPr>
              <w:t>Check accessibility basics (keyboard navigation, screen reader considerations) and responsiveness.</w:t>
            </w:r>
          </w:p>
        </w:tc>
        <w:tc>
          <w:tcPr>
            <w:tcW w:type="dxa" w:w="2436"/>
            <w:vAlign w:val="top"/>
          </w:tcPr>
          <w:p>
            <w:r>
              <w:rPr>
                <w:sz w:val="20"/>
              </w:rPr>
              <w:t>You conduct user testing; Mr. Seyi summarizes findings</w:t>
            </w:r>
          </w:p>
        </w:tc>
      </w:tr>
      <w:tr>
        <w:tc>
          <w:tcPr>
            <w:tcW w:type="dxa" w:w="2436"/>
            <w:vAlign w:val="top"/>
          </w:tcPr>
          <w:p>
            <w:r>
              <w:rPr>
                <w:sz w:val="20"/>
              </w:rPr>
              <w:t>14</w:t>
            </w:r>
          </w:p>
        </w:tc>
        <w:tc>
          <w:tcPr>
            <w:tcW w:type="dxa" w:w="2436"/>
          </w:tcPr>
          <w:p>
            <w:r>
              <w:rPr>
                <w:b/>
                <w:sz w:val="20"/>
              </w:rPr>
              <w:t>Data subject rights and privacy</w:t>
            </w:r>
          </w:p>
        </w:tc>
        <w:tc>
          <w:tcPr>
            <w:tcW w:type="dxa" w:w="2436"/>
            <w:vAlign w:val="top"/>
          </w:tcPr>
          <w:p>
            <w:r/>
          </w:p>
          <w:p>
            <w:pPr>
              <w:pStyle w:val="ListBullet"/>
            </w:pPr>
            <w:r>
              <w:rPr>
                <w:sz w:val="20"/>
              </w:rPr>
              <w:t>Verify data export and deletion capabilities for organizations.</w:t>
            </w:r>
          </w:p>
          <w:p>
            <w:pPr>
              <w:pStyle w:val="ListBullet"/>
            </w:pPr>
            <w:r>
              <w:rPr>
                <w:sz w:val="20"/>
              </w:rPr>
              <w:t>Confirm processes to honor privacy requests where applicable (access, correction, deletion) and to support regulator inquiries.</w:t>
            </w:r>
          </w:p>
        </w:tc>
        <w:tc>
          <w:tcPr>
            <w:tcW w:type="dxa" w:w="2436"/>
            <w:vAlign w:val="top"/>
          </w:tcPr>
          <w:p>
            <w:r>
              <w:rPr>
                <w:sz w:val="20"/>
              </w:rPr>
              <w:t>Mr. Seyi</w:t>
            </w:r>
          </w:p>
        </w:tc>
      </w:tr>
      <w:tr>
        <w:tc>
          <w:tcPr>
            <w:tcW w:type="dxa" w:w="2436"/>
            <w:vAlign w:val="top"/>
          </w:tcPr>
          <w:p>
            <w:r>
              <w:rPr>
                <w:sz w:val="20"/>
              </w:rPr>
              <w:t>15</w:t>
            </w:r>
          </w:p>
        </w:tc>
        <w:tc>
          <w:tcPr>
            <w:tcW w:type="dxa" w:w="2436"/>
          </w:tcPr>
          <w:p>
            <w:r>
              <w:rPr>
                <w:b/>
                <w:sz w:val="20"/>
              </w:rPr>
              <w:t>Continuous improvement and reporting</w:t>
            </w:r>
          </w:p>
        </w:tc>
        <w:tc>
          <w:tcPr>
            <w:tcW w:type="dxa" w:w="2436"/>
            <w:vAlign w:val="top"/>
          </w:tcPr>
          <w:p>
            <w:r/>
          </w:p>
          <w:p>
            <w:pPr>
              <w:pStyle w:val="ListBullet"/>
            </w:pPr>
            <w:r>
              <w:rPr>
                <w:sz w:val="20"/>
              </w:rPr>
              <w:t>Compile a risk register from findings (risk statement, likelihood, impact, owner, remediation, due date, evidence).</w:t>
            </w:r>
          </w:p>
          <w:p>
            <w:pPr>
              <w:pStyle w:val="ListBullet"/>
            </w:pPr>
            <w:r>
              <w:rPr>
                <w:sz w:val="20"/>
              </w:rPr>
              <w:t>Set a review cadence (e.g., quarterly) and run re-assessments whenever major features or vendors change.</w:t>
            </w:r>
          </w:p>
          <w:p>
            <w:pPr>
              <w:pStyle w:val="ListBullet"/>
            </w:pPr>
            <w:r>
              <w:rPr>
                <w:sz w:val="20"/>
              </w:rPr>
              <w:t>Use platform analytics to monitor compliance trends and prioritize remediation.</w:t>
            </w:r>
          </w:p>
        </w:tc>
        <w:tc>
          <w:tcPr>
            <w:tcW w:type="dxa" w:w="2436"/>
            <w:vAlign w:val="top"/>
          </w:tcPr>
          <w:p>
            <w:r>
              <w:rPr>
                <w:sz w:val="20"/>
              </w:rPr>
              <w:t>Mr. Seyi (lead); You support</w:t>
            </w:r>
          </w:p>
        </w:tc>
      </w:tr>
    </w:tbl>
    <w:p/>
    <w:p>
      <w:r>
        <w:rPr>
          <w:b/>
          <w:sz w:val="28"/>
        </w:rPr>
        <w:t>Summary of Responsibilities</w:t>
      </w:r>
    </w:p>
    <w:p>
      <w:r>
        <w:rPr>
          <w:b/>
        </w:rPr>
        <w:t>You (platform walkthrough and validation)</w:t>
      </w:r>
    </w:p>
    <w:p>
      <w:pPr>
        <w:pStyle w:val="ListBullet"/>
      </w:pPr>
      <w:r>
        <w:rPr>
          <w:sz w:val="20"/>
        </w:rPr>
        <w:t>Create test accounts and walk through core flows (signup/login, organization setup, document upload, AI report view, export/download).</w:t>
      </w:r>
    </w:p>
    <w:p>
      <w:pPr>
        <w:pStyle w:val="ListBullet"/>
      </w:pPr>
      <w:r>
        <w:rPr>
          <w:sz w:val="20"/>
        </w:rPr>
        <w:t>Validate role-based access behavior and session handling (logout, timeout).</w:t>
      </w:r>
    </w:p>
    <w:p>
      <w:pPr>
        <w:pStyle w:val="ListBullet"/>
      </w:pPr>
      <w:r>
        <w:rPr>
          <w:sz w:val="20"/>
        </w:rPr>
        <w:t>Test AI output quality with sample policies and log errors, inaccuracies, or confusing recommendations.</w:t>
      </w:r>
    </w:p>
    <w:p>
      <w:pPr>
        <w:pStyle w:val="ListBullet"/>
      </w:pPr>
      <w:r>
        <w:rPr>
          <w:sz w:val="20"/>
        </w:rPr>
        <w:t>Run usability checks with 1-2 internal users and collect feedback on friction points.</w:t>
      </w:r>
    </w:p>
    <w:p>
      <w:pPr>
        <w:pStyle w:val="ListBullet"/>
      </w:pPr>
      <w:r>
        <w:rPr>
          <w:sz w:val="20"/>
        </w:rPr>
        <w:t>Coordinate training needs for internal staff using the platform.</w:t>
      </w:r>
    </w:p>
    <w:p>
      <w:r>
        <w:rPr>
          <w:b/>
        </w:rPr>
        <w:t>Mr. Seyi (compliance, security controls, and evidence pack)</w:t>
      </w:r>
    </w:p>
    <w:p>
      <w:pPr>
        <w:pStyle w:val="ListBullet"/>
      </w:pPr>
      <w:r>
        <w:rPr>
          <w:sz w:val="20"/>
        </w:rPr>
        <w:t>Review legal and compliance artifacts (BAA, privacy policy, terms, subprocessor list) and verify contractual HIPAA requirements.</w:t>
      </w:r>
    </w:p>
    <w:p>
      <w:pPr>
        <w:pStyle w:val="ListBullet"/>
      </w:pPr>
      <w:r>
        <w:rPr>
          <w:sz w:val="20"/>
        </w:rPr>
        <w:t>Verify technical controls: encryption, SSO configuration, audit logging, monitoring, and access management.</w:t>
      </w:r>
    </w:p>
    <w:p>
      <w:pPr>
        <w:pStyle w:val="ListBullet"/>
      </w:pPr>
      <w:r>
        <w:rPr>
          <w:sz w:val="20"/>
        </w:rPr>
        <w:t>Perform vendor/subprocessor due diligence and ensure required agreements are in place.</w:t>
      </w:r>
    </w:p>
    <w:p>
      <w:pPr>
        <w:pStyle w:val="ListBullet"/>
      </w:pPr>
      <w:r>
        <w:rPr>
          <w:sz w:val="20"/>
        </w:rPr>
        <w:t>Define incident response and breach notification expectations and validate Theraptly’s processes align.</w:t>
      </w:r>
    </w:p>
    <w:p>
      <w:pPr>
        <w:pStyle w:val="ListBullet"/>
      </w:pPr>
      <w:r>
        <w:rPr>
          <w:sz w:val="20"/>
        </w:rPr>
        <w:t>Compile the risk register and remediation plan, with owners, due dates, and evidence.</w:t>
      </w:r>
    </w:p>
    <w:p/>
    <w:p>
      <w:r>
        <w:rPr>
          <w:b/>
          <w:sz w:val="28"/>
        </w:rPr>
        <w:t>Reference Frameworks (for mapping and evidence)</w:t>
      </w:r>
    </w:p>
    <w:p>
      <w:pPr>
        <w:pStyle w:val="ListBullet"/>
      </w:pPr>
      <w:r>
        <w:rPr>
          <w:sz w:val="20"/>
        </w:rPr>
        <w:t>NIST SP 800-66r2: Implementing the HIPAA Security Rule (February 2024).</w:t>
      </w:r>
    </w:p>
    <w:p>
      <w:pPr>
        <w:pStyle w:val="ListBullet"/>
      </w:pPr>
      <w:r>
        <w:rPr>
          <w:sz w:val="20"/>
        </w:rPr>
        <w:t>AICPA Trust Services Criteria (2017, includes March 2020 updates) - useful for SOC 2-style control mapping.</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