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AWS WELL-ARCHITECTED REVIEW</w:t>
      </w:r>
    </w:p>
    <w:p>
      <w:pPr>
        <w:spacing w:after="100"/>
        <w:jc w:val="center"/>
      </w:pPr>
      <w:r>
        <w:rPr>
          <w:rFonts w:ascii="Arial" w:cs="Arial" w:eastAsia="Arial" w:hAnsi="Arial"/>
          <w:color w:val="2C5F8A"/>
          <w:sz w:val="28"/>
          <w:szCs w:val="28"/>
        </w:rPr>
        <w:t xml:space="preserve">Cell-Based Architecture Fault Isolation Analysis</w:t>
      </w:r>
    </w:p>
    <w:p>
      <w:pPr>
        <w:spacing w:after="600"/>
        <w:jc w:val="center"/>
      </w:pPr>
      <w:r>
        <w:rPr>
          <w:rFonts w:ascii="Arial" w:cs="Arial" w:eastAsia="Arial" w:hAnsi="Arial"/>
          <w:color w:val="555555"/>
          <w:sz w:val="24"/>
          <w:szCs w:val="24"/>
        </w:rPr>
        <w:t xml:space="preserve">Private Bank Client Information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none" w:sz="0"/>
              <w:bottom w:val="none" w:sz="0"/>
              <w:right w:val="none" w:sz="0"/>
            </w:tcBorders>
          </w:tcPr>
          <w:p/>
        </w:tc>
      </w:tr>
    </w:tbl>
    <w:p>
      <w:pPr>
        <w:spacing w:before="400"/>
      </w:pPr>
    </w:p>
    <w:p>
      <w:pPr>
        <w:jc w:val="center"/>
      </w:pPr>
      <w:r>
        <w:rPr>
          <w:rFonts w:ascii="Arial" w:cs="Arial" w:eastAsia="Arial" w:hAnsi="Arial"/>
          <w:color w:val="666666"/>
          <w:sz w:val="20"/>
          <w:szCs w:val="20"/>
        </w:rPr>
        <w:t xml:space="preserve">Prepared by: AWS Certified Solutions Architect - Professional</w:t>
      </w:r>
    </w:p>
    <w:p>
      <w:pPr>
        <w:jc w:val="center"/>
      </w:pPr>
      <w:r>
        <w:rPr>
          <w:rFonts w:ascii="Arial" w:cs="Arial" w:eastAsia="Arial" w:hAnsi="Arial"/>
          <w:color w:val="666666"/>
          <w:sz w:val="20"/>
          <w:szCs w:val="20"/>
        </w:rPr>
        <w:t xml:space="preserve">Date: February 2026</w:t>
      </w:r>
    </w:p>
    <w:p>
      <w:pPr>
        <w:spacing w:before="200"/>
        <w:jc w:val="center"/>
      </w:pPr>
      <w:r>
        <w:rPr>
          <w:rFonts w:ascii="Arial" w:cs="Arial" w:eastAsia="Arial" w:hAnsi="Arial"/>
          <w:b/>
          <w:bCs/>
          <w:color w:val="CC0000"/>
          <w:sz w:val="20"/>
          <w:szCs w:val="20"/>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before="240" w:after="12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240" w:after="120"/>
      </w:pPr>
      <w:r>
        <w:rPr>
          <w:rFonts w:ascii="Arial" w:cs="Arial" w:eastAsia="Arial" w:hAnsi="Arial"/>
          <w:b/>
          <w:bCs/>
          <w:sz w:val="32"/>
          <w:szCs w:val="32"/>
        </w:rPr>
        <w:t xml:space="preserve">1. Executive Summary</w:t>
      </w:r>
    </w:p>
    <w:p>
      <w:pPr>
        <w:spacing w:after="120"/>
      </w:pPr>
      <w:r>
        <w:rPr>
          <w:rFonts w:ascii="Arial" w:cs="Arial" w:eastAsia="Arial" w:hAnsi="Arial"/>
          <w:sz w:val="20"/>
          <w:szCs w:val="20"/>
        </w:rPr>
        <w:t xml:space="preserve">This report presents a comprehensive AWS Well-Architected Framework review of the Private Bank Client Information Management (CIM) system. The architecture employs a Hexagonal (Ports &amp; Adapters) pattern combined with Cell-Based Architecture principles deployed on AWS serverless services. The system comprises four domain cells: Client, KYC (Know Your Customer), Account, and Onboarding, supported by shared infrastructure services.</w:t>
      </w:r>
    </w:p>
    <w:p>
      <w:pPr>
        <w:spacing w:after="120"/>
      </w:pPr>
      <w:r>
        <w:rPr>
          <w:rFonts w:ascii="Arial" w:cs="Arial" w:eastAsia="Arial" w:hAnsi="Arial"/>
          <w:sz w:val="20"/>
          <w:szCs w:val="20"/>
        </w:rPr>
        <w:t xml:space="preserve">While the architecture demonstrates strong domain-driven design with appropriate bounded context isolation, event-driven asynchronous communication, and Anti-Corruption Layer (ACL) patterns for external integration, this review identifies critical gaps particularly around multi-region resilience, true cell-based fault isolation, and several security hardening areas that must be addressed for a production private banking workload.</w:t>
      </w:r>
    </w:p>
    <w:p>
      <w:pPr>
        <w:spacing w:after="120"/>
      </w:pPr>
      <w:r>
        <w:rPr>
          <w:rFonts w:ascii="Arial" w:cs="Arial" w:eastAsia="Arial" w:hAnsi="Arial"/>
          <w:b/>
          <w:bCs/>
          <w:sz w:val="20"/>
          <w:szCs w:val="20"/>
        </w:rPr>
        <w:t xml:space="preserve">Overall Assessment: </w:t>
      </w:r>
      <w:r>
        <w:rPr>
          <w:rFonts w:ascii="Arial" w:cs="Arial" w:eastAsia="Arial" w:hAnsi="Arial"/>
          <w:sz w:val="20"/>
          <w:szCs w:val="20"/>
        </w:rPr>
        <w:t xml:space="preserve">The architecture is a well-structured domain-partitioned serverless design, but it is not yet a true cell-based architecture as defined by AWS. Critical enhancements are required across reliability, security, and operational excellence before it can meet the resilience and regulatory expectations of a private banking institution.</w:t>
      </w:r>
    </w:p>
    <w:p>
      <w:pPr>
        <w:spacing w:before="200" w:after="100"/>
      </w:pPr>
      <w:r>
        <w:rPr>
          <w:rFonts w:ascii="Arial" w:cs="Arial" w:eastAsia="Arial" w:hAnsi="Arial"/>
          <w:b/>
          <w:bCs/>
          <w:sz w:val="20"/>
          <w:szCs w:val="20"/>
        </w:rPr>
        <w:t xml:space="preserve">Well-Architected Pillar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Concern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Excellence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CC8800"/>
                <w:sz w:val="20"/>
                <w:szCs w:val="20"/>
              </w:rPr>
              <w:t xml:space="preserve">Moderate Gaps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runbooks, no per-cell dashboards, no deployment isolation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CC8800"/>
                <w:sz w:val="20"/>
                <w:szCs w:val="20"/>
              </w:rPr>
              <w:t xml:space="preserve">Moderate Gaps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WAF, no VPC, shared KMS, missing Secrets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CC0000"/>
                <w:sz w:val="20"/>
                <w:szCs w:val="20"/>
              </w:rPr>
              <w:t xml:space="preserve">Major Gaps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multi-region, single-region EventBridge hub, no cell router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Efficiency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28B22"/>
                <w:sz w:val="20"/>
                <w:szCs w:val="20"/>
              </w:rPr>
              <w:t xml:space="preserve">Good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Serverless-native, but Account Cell MongoDB needs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Optimization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28B22"/>
                <w:sz w:val="20"/>
                <w:szCs w:val="20"/>
              </w:rPr>
              <w:t xml:space="preserve">Good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Serverless pay-per-use, DLQs prevent runaway retries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28B22"/>
                <w:sz w:val="20"/>
                <w:szCs w:val="20"/>
              </w:rPr>
              <w:t xml:space="preserve">Good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Serverless minimizes idle resources, event-driven is efficient</w:t>
            </w:r>
          </w:p>
        </w:tc>
      </w:tr>
    </w:tbl>
    <w:p>
      <w:r>
        <w:br w:type="page"/>
      </w:r>
    </w:p>
    <w:p>
      <w:pPr>
        <w:pStyle w:val="Heading1"/>
        <w:spacing w:before="240" w:after="120"/>
      </w:pPr>
      <w:r>
        <w:rPr>
          <w:rFonts w:ascii="Arial" w:cs="Arial" w:eastAsia="Arial" w:hAnsi="Arial"/>
          <w:b/>
          <w:bCs/>
          <w:sz w:val="32"/>
          <w:szCs w:val="32"/>
        </w:rPr>
        <w:t xml:space="preserve">2. Architecture Overview</w:t>
      </w:r>
    </w:p>
    <w:p>
      <w:pPr>
        <w:pStyle w:val="Heading2"/>
        <w:spacing w:before="240" w:after="120"/>
      </w:pPr>
      <w:r>
        <w:rPr>
          <w:rFonts w:ascii="Arial" w:cs="Arial" w:eastAsia="Arial" w:hAnsi="Arial"/>
          <w:b/>
          <w:bCs/>
          <w:sz w:val="26"/>
          <w:szCs w:val="26"/>
        </w:rPr>
        <w:t xml:space="preserve">2.1 Design Patterns Identified</w:t>
      </w:r>
    </w:p>
    <w:p>
      <w:pPr>
        <w:pStyle w:val="ListParagraph"/>
        <w:numPr>
          <w:ilvl w:val="0"/>
          <w:numId w:val="2"/>
        </w:numPr>
        <w:spacing w:after="60"/>
      </w:pPr>
      <w:r>
        <w:rPr>
          <w:rFonts w:ascii="Arial" w:cs="Arial" w:eastAsia="Arial" w:hAnsi="Arial"/>
          <w:b/>
          <w:bCs/>
          <w:sz w:val="20"/>
          <w:szCs w:val="20"/>
        </w:rPr>
        <w:t xml:space="preserve">Hexagonal Architecture (Ports &amp; Adapters): </w:t>
      </w:r>
      <w:r>
        <w:rPr>
          <w:rFonts w:ascii="Arial" w:cs="Arial" w:eastAsia="Arial" w:hAnsi="Arial"/>
          <w:sz w:val="20"/>
          <w:szCs w:val="20"/>
        </w:rPr>
        <w:t xml:space="preserve">Each cell exposes APIs (ports) and uses Lambda handlers (adapters) to decouple domain logic from infrastructure.</w:t>
      </w:r>
    </w:p>
    <w:p>
      <w:pPr>
        <w:pStyle w:val="ListParagraph"/>
        <w:numPr>
          <w:ilvl w:val="0"/>
          <w:numId w:val="2"/>
        </w:numPr>
        <w:spacing w:after="60"/>
      </w:pPr>
      <w:r>
        <w:rPr>
          <w:rFonts w:ascii="Arial" w:cs="Arial" w:eastAsia="Arial" w:hAnsi="Arial"/>
          <w:b/>
          <w:bCs/>
          <w:sz w:val="20"/>
          <w:szCs w:val="20"/>
        </w:rPr>
        <w:t xml:space="preserve">Cell-Based Architecture (Partial): </w:t>
      </w:r>
      <w:r>
        <w:rPr>
          <w:rFonts w:ascii="Arial" w:cs="Arial" w:eastAsia="Arial" w:hAnsi="Arial"/>
          <w:sz w:val="20"/>
          <w:szCs w:val="20"/>
        </w:rPr>
        <w:t xml:space="preserve">Domain boundaries serve as cell boundaries, each with independent data stores and event buses. However, true cell partitioning with a cell router is absent.</w:t>
      </w:r>
    </w:p>
    <w:p>
      <w:pPr>
        <w:pStyle w:val="ListParagraph"/>
        <w:numPr>
          <w:ilvl w:val="0"/>
          <w:numId w:val="2"/>
        </w:numPr>
        <w:spacing w:after="60"/>
      </w:pPr>
      <w:r>
        <w:rPr>
          <w:rFonts w:ascii="Arial" w:cs="Arial" w:eastAsia="Arial" w:hAnsi="Arial"/>
          <w:b/>
          <w:bCs/>
          <w:sz w:val="20"/>
          <w:szCs w:val="20"/>
        </w:rPr>
        <w:t xml:space="preserve">Event-Driven Architecture: </w:t>
      </w:r>
      <w:r>
        <w:rPr>
          <w:rFonts w:ascii="Arial" w:cs="Arial" w:eastAsia="Arial" w:hAnsi="Arial"/>
          <w:sz w:val="20"/>
          <w:szCs w:val="20"/>
        </w:rPr>
        <w:t xml:space="preserve">EventBridge buses enable asynchronous, loosely-coupled cross-domain communication.</w:t>
      </w:r>
    </w:p>
    <w:p>
      <w:pPr>
        <w:pStyle w:val="ListParagraph"/>
        <w:numPr>
          <w:ilvl w:val="0"/>
          <w:numId w:val="2"/>
        </w:numPr>
        <w:spacing w:after="60"/>
      </w:pPr>
      <w:r>
        <w:rPr>
          <w:rFonts w:ascii="Arial" w:cs="Arial" w:eastAsia="Arial" w:hAnsi="Arial"/>
          <w:b/>
          <w:bCs/>
          <w:sz w:val="20"/>
          <w:szCs w:val="20"/>
        </w:rPr>
        <w:t xml:space="preserve">Saga Pattern: </w:t>
      </w:r>
      <w:r>
        <w:rPr>
          <w:rFonts w:ascii="Arial" w:cs="Arial" w:eastAsia="Arial" w:hAnsi="Arial"/>
          <w:sz w:val="20"/>
          <w:szCs w:val="20"/>
        </w:rPr>
        <w:t xml:space="preserve">The Onboarding Cell uses a Saga Coordinator Lambda to orchestrate multi-step onboarding workflows across cells.</w:t>
      </w:r>
    </w:p>
    <w:p>
      <w:pPr>
        <w:pStyle w:val="ListParagraph"/>
        <w:numPr>
          <w:ilvl w:val="0"/>
          <w:numId w:val="2"/>
        </w:numPr>
        <w:spacing w:after="60"/>
      </w:pPr>
      <w:r>
        <w:rPr>
          <w:rFonts w:ascii="Arial" w:cs="Arial" w:eastAsia="Arial" w:hAnsi="Arial"/>
          <w:b/>
          <w:bCs/>
          <w:sz w:val="20"/>
          <w:szCs w:val="20"/>
        </w:rPr>
        <w:t xml:space="preserve">Anti-Corruption Layer (ACL): </w:t>
      </w:r>
      <w:r>
        <w:rPr>
          <w:rFonts w:ascii="Arial" w:cs="Arial" w:eastAsia="Arial" w:hAnsi="Arial"/>
          <w:sz w:val="20"/>
          <w:szCs w:val="20"/>
        </w:rPr>
        <w:t xml:space="preserve">The KYC Cell isolates third-party screening integration behind a dedicated Lambda ACL, and legacy systems connect through event bus ACLs.</w:t>
      </w:r>
    </w:p>
    <w:p>
      <w:pPr>
        <w:pStyle w:val="Heading2"/>
        <w:spacing w:before="240" w:after="120"/>
      </w:pPr>
      <w:r>
        <w:rPr>
          <w:rFonts w:ascii="Arial" w:cs="Arial" w:eastAsia="Arial" w:hAnsi="Arial"/>
          <w:b/>
          <w:bCs/>
          <w:sz w:val="26"/>
          <w:szCs w:val="26"/>
        </w:rPr>
        <w:t xml:space="preserve">2.2 Cell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560"/>
        <w:gridCol w:w="1900"/>
        <w:gridCol w:w="19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Store</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Messaging</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Handling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DynamoDB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EventBridge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DLQ (SQS)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DynamoDB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EventBridge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DLQ (SQS)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(Event-Driven)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EventBridge + SQS + SNS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DLQ (SQS)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 + Saga Coordinator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DynamoDB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EventBridge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DLQ (SQS)</w:t>
            </w:r>
          </w:p>
        </w:tc>
      </w:tr>
    </w:tbl>
    <w:p>
      <w:pPr>
        <w:pStyle w:val="Heading2"/>
        <w:spacing w:before="240" w:after="120"/>
      </w:pPr>
      <w:r>
        <w:rPr>
          <w:rFonts w:ascii="Arial" w:cs="Arial" w:eastAsia="Arial" w:hAnsi="Arial"/>
          <w:b/>
          <w:bCs/>
          <w:sz w:val="26"/>
          <w:szCs w:val="26"/>
        </w:rPr>
        <w:t xml:space="preserve">2.3 Cross-Cell Communication Map</w:t>
      </w:r>
    </w:p>
    <w:p>
      <w:pPr>
        <w:spacing w:after="120"/>
      </w:pPr>
      <w:r>
        <w:rPr>
          <w:rFonts w:ascii="Arial" w:cs="Arial" w:eastAsia="Arial" w:hAnsi="Arial"/>
          <w:sz w:val="20"/>
          <w:szCs w:val="20"/>
        </w:rPr>
        <w:t xml:space="preserve">All cross-cell communication flows through EventBridge event buses. The Onboarding Cell acts as the central orchestration hub, receiving domain events from Client, KYC, and Account cells, and emitting commands back to them. This creates a hub-and-spoke topology centered on the Onboarding Public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Event Bus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Public Event Bus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ClientRegistered, ClientUpdated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 Event Bus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Public Event Bus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KycApproved, KycRejected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Event Bus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Public Event Bus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AccountOpened, AccountFunded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Public Event Bus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Event Bus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Commands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Public Event Bus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 Event Bus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StartKycCase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Public Event Bus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Event Bus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OpenAccount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Systems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 KYC Event Bus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Events (via ACL)</w:t>
            </w:r>
          </w:p>
        </w:tc>
      </w:tr>
    </w:tbl>
    <w:p>
      <w:r>
        <w:br w:type="page"/>
      </w:r>
    </w:p>
    <w:p>
      <w:pPr>
        <w:pStyle w:val="Heading1"/>
        <w:spacing w:before="240" w:after="120"/>
      </w:pPr>
      <w:r>
        <w:rPr>
          <w:rFonts w:ascii="Arial" w:cs="Arial" w:eastAsia="Arial" w:hAnsi="Arial"/>
          <w:b/>
          <w:bCs/>
          <w:sz w:val="32"/>
          <w:szCs w:val="32"/>
        </w:rPr>
        <w:t xml:space="preserve">3. Well-Architected Framework Pillar Analysis</w:t>
      </w:r>
    </w:p>
    <w:p>
      <w:pPr>
        <w:pStyle w:val="Heading2"/>
        <w:spacing w:before="240" w:after="120"/>
      </w:pPr>
      <w:r>
        <w:rPr>
          <w:rFonts w:ascii="Arial" w:cs="Arial" w:eastAsia="Arial" w:hAnsi="Arial"/>
          <w:b/>
          <w:bCs/>
          <w:sz w:val="26"/>
          <w:szCs w:val="26"/>
        </w:rPr>
        <w:t xml:space="preserve">3.1 Operational Excellence</w:t>
      </w:r>
    </w:p>
    <w:p>
      <w:pPr>
        <w:spacing w:after="120"/>
      </w:pPr>
      <w:r>
        <w:rPr>
          <w:rFonts w:ascii="Arial" w:cs="Arial" w:eastAsia="Arial" w:hAnsi="Arial"/>
          <w:b/>
          <w:bCs/>
          <w:sz w:val="20"/>
          <w:szCs w:val="20"/>
        </w:rPr>
        <w:t xml:space="preserve">Rating: Moderate Gaps</w:t>
      </w:r>
    </w:p>
    <w:p>
      <w:pPr>
        <w:pStyle w:val="Heading3"/>
        <w:spacing w:before="240" w:after="120"/>
      </w:pPr>
      <w:r>
        <w:rPr>
          <w:rFonts w:ascii="Arial" w:cs="Arial" w:eastAsia="Arial" w:hAnsi="Arial"/>
          <w:b/>
          <w:bCs/>
          <w:sz w:val="22"/>
          <w:szCs w:val="22"/>
        </w:rPr>
        <w:t xml:space="preserve">3.1.1 Strengths</w:t>
      </w:r>
    </w:p>
    <w:p>
      <w:pPr>
        <w:pStyle w:val="ListParagraph"/>
        <w:numPr>
          <w:ilvl w:val="0"/>
          <w:numId w:val="2"/>
        </w:numPr>
        <w:spacing w:after="60"/>
      </w:pPr>
      <w:r>
        <w:rPr>
          <w:rFonts w:ascii="Arial" w:cs="Arial" w:eastAsia="Arial" w:hAnsi="Arial"/>
          <w:sz w:val="20"/>
          <w:szCs w:val="20"/>
        </w:rPr>
        <w:t xml:space="preserve">Centralized observability via CloudWatch (metrics/logs) and X-Ray (distributed tracing) across all Lambda functions.</w:t>
      </w:r>
    </w:p>
    <w:p>
      <w:pPr>
        <w:pStyle w:val="ListParagraph"/>
        <w:numPr>
          <w:ilvl w:val="0"/>
          <w:numId w:val="2"/>
        </w:numPr>
        <w:spacing w:after="60"/>
      </w:pPr>
      <w:r>
        <w:rPr>
          <w:rFonts w:ascii="Arial" w:cs="Arial" w:eastAsia="Arial" w:hAnsi="Arial"/>
          <w:sz w:val="20"/>
          <w:szCs w:val="20"/>
        </w:rPr>
        <w:t xml:space="preserve">DLQs on every event bus provide a clear mechanism for capturing and replaying failed events.</w:t>
      </w:r>
    </w:p>
    <w:p>
      <w:pPr>
        <w:pStyle w:val="ListParagraph"/>
        <w:numPr>
          <w:ilvl w:val="0"/>
          <w:numId w:val="2"/>
        </w:numPr>
        <w:spacing w:after="60"/>
      </w:pPr>
      <w:r>
        <w:rPr>
          <w:rFonts w:ascii="Arial" w:cs="Arial" w:eastAsia="Arial" w:hAnsi="Arial"/>
          <w:sz w:val="20"/>
          <w:szCs w:val="20"/>
        </w:rPr>
        <w:t xml:space="preserve">Event-driven design naturally supports operational event logging for audit trails, critical in banking.</w:t>
      </w:r>
    </w:p>
    <w:p>
      <w:pPr>
        <w:pStyle w:val="Heading3"/>
        <w:spacing w:before="240" w:after="120"/>
      </w:pPr>
      <w:r>
        <w:rPr>
          <w:rFonts w:ascii="Arial" w:cs="Arial" w:eastAsia="Arial" w:hAnsi="Arial"/>
          <w:b/>
          <w:bCs/>
          <w:sz w:val="22"/>
          <w:szCs w:val="22"/>
        </w:rPr>
        <w:t xml:space="preserve">3.1.2 Gaps Identified</w:t>
      </w:r>
    </w:p>
    <w:p>
      <w:pPr>
        <w:pStyle w:val="ListParagraph"/>
        <w:numPr>
          <w:ilvl w:val="0"/>
          <w:numId w:val="2"/>
        </w:numPr>
        <w:spacing w:after="60"/>
      </w:pPr>
      <w:r>
        <w:rPr>
          <w:rFonts w:ascii="Arial" w:cs="Arial" w:eastAsia="Arial" w:hAnsi="Arial"/>
          <w:b/>
          <w:bCs/>
          <w:sz w:val="20"/>
          <w:szCs w:val="20"/>
        </w:rPr>
        <w:t xml:space="preserve">No per-cell operational dashboards: </w:t>
      </w:r>
      <w:r>
        <w:rPr>
          <w:rFonts w:ascii="Arial" w:cs="Arial" w:eastAsia="Arial" w:hAnsi="Arial"/>
          <w:sz w:val="20"/>
          <w:szCs w:val="20"/>
        </w:rPr>
        <w:t xml:space="preserve">Each cell should have its own CloudWatch dashboard with cell-specific KPIs: error rates, latency percentiles (p50/p95/p99), DLQ depth, throttle counts, and event processing lag.</w:t>
      </w:r>
    </w:p>
    <w:p>
      <w:pPr>
        <w:pStyle w:val="ListParagraph"/>
        <w:numPr>
          <w:ilvl w:val="0"/>
          <w:numId w:val="2"/>
        </w:numPr>
        <w:spacing w:after="60"/>
      </w:pPr>
      <w:r>
        <w:rPr>
          <w:rFonts w:ascii="Arial" w:cs="Arial" w:eastAsia="Arial" w:hAnsi="Arial"/>
          <w:b/>
          <w:bCs/>
          <w:sz w:val="20"/>
          <w:szCs w:val="20"/>
        </w:rPr>
        <w:t xml:space="preserve">No runbooks or playbooks: </w:t>
      </w:r>
      <w:r>
        <w:rPr>
          <w:rFonts w:ascii="Arial" w:cs="Arial" w:eastAsia="Arial" w:hAnsi="Arial"/>
          <w:sz w:val="20"/>
          <w:szCs w:val="20"/>
        </w:rPr>
        <w:t xml:space="preserve">Automated incident response via Systems Manager Incident Manager or equivalent is absent. For a banking system, every failure mode needs a documented remediation procedure.</w:t>
      </w:r>
    </w:p>
    <w:p>
      <w:pPr>
        <w:pStyle w:val="ListParagraph"/>
        <w:numPr>
          <w:ilvl w:val="0"/>
          <w:numId w:val="2"/>
        </w:numPr>
        <w:spacing w:after="60"/>
      </w:pPr>
      <w:r>
        <w:rPr>
          <w:rFonts w:ascii="Arial" w:cs="Arial" w:eastAsia="Arial" w:hAnsi="Arial"/>
          <w:b/>
          <w:bCs/>
          <w:sz w:val="20"/>
          <w:szCs w:val="20"/>
        </w:rPr>
        <w:t xml:space="preserve">No deployment isolation strategy: </w:t>
      </w:r>
      <w:r>
        <w:rPr>
          <w:rFonts w:ascii="Arial" w:cs="Arial" w:eastAsia="Arial" w:hAnsi="Arial"/>
          <w:sz w:val="20"/>
          <w:szCs w:val="20"/>
        </w:rPr>
        <w:t xml:space="preserve">There is no indication of independent deployment pipelines per cell. Cell-based architecture demands that each cell can be deployed, rolled back, and tested independently without affecting other cells.</w:t>
      </w:r>
    </w:p>
    <w:p>
      <w:pPr>
        <w:pStyle w:val="ListParagraph"/>
        <w:numPr>
          <w:ilvl w:val="0"/>
          <w:numId w:val="2"/>
        </w:numPr>
        <w:spacing w:after="60"/>
      </w:pPr>
      <w:r>
        <w:rPr>
          <w:rFonts w:ascii="Arial" w:cs="Arial" w:eastAsia="Arial" w:hAnsi="Arial"/>
          <w:b/>
          <w:bCs/>
          <w:sz w:val="20"/>
          <w:szCs w:val="20"/>
        </w:rPr>
        <w:t xml:space="preserve">No canary deployments or feature flags: </w:t>
      </w:r>
      <w:r>
        <w:rPr>
          <w:rFonts w:ascii="Arial" w:cs="Arial" w:eastAsia="Arial" w:hAnsi="Arial"/>
          <w:sz w:val="20"/>
          <w:szCs w:val="20"/>
        </w:rPr>
        <w:t xml:space="preserve">Lambda alias-based traffic shifting or AWS AppConfig for gradual rollouts is missing. A production banking system should never deploy changes to all users simultaneously.</w:t>
      </w:r>
    </w:p>
    <w:p>
      <w:pPr>
        <w:pStyle w:val="ListParagraph"/>
        <w:numPr>
          <w:ilvl w:val="0"/>
          <w:numId w:val="2"/>
        </w:numPr>
        <w:spacing w:after="60"/>
      </w:pPr>
      <w:r>
        <w:rPr>
          <w:rFonts w:ascii="Arial" w:cs="Arial" w:eastAsia="Arial" w:hAnsi="Arial"/>
          <w:b/>
          <w:bCs/>
          <w:sz w:val="20"/>
          <w:szCs w:val="20"/>
        </w:rPr>
        <w:t xml:space="preserve">No cell-level health endpoints: </w:t>
      </w:r>
      <w:r>
        <w:rPr>
          <w:rFonts w:ascii="Arial" w:cs="Arial" w:eastAsia="Arial" w:hAnsi="Arial"/>
          <w:sz w:val="20"/>
          <w:szCs w:val="20"/>
        </w:rPr>
        <w:t xml:space="preserve">Each cell should expose a health/readiness endpoint that a cell router can use for routing decisions.</w:t>
      </w:r>
    </w:p>
    <w:p>
      <w:pPr>
        <w:pStyle w:val="ListParagraph"/>
        <w:numPr>
          <w:ilvl w:val="0"/>
          <w:numId w:val="2"/>
        </w:numPr>
        <w:spacing w:after="60"/>
      </w:pPr>
      <w:r>
        <w:rPr>
          <w:rFonts w:ascii="Arial" w:cs="Arial" w:eastAsia="Arial" w:hAnsi="Arial"/>
          <w:b/>
          <w:bCs/>
          <w:sz w:val="20"/>
          <w:szCs w:val="20"/>
        </w:rPr>
        <w:t xml:space="preserve">Missing DLQ monitoring alarms: </w:t>
      </w:r>
      <w:r>
        <w:rPr>
          <w:rFonts w:ascii="Arial" w:cs="Arial" w:eastAsia="Arial" w:hAnsi="Arial"/>
          <w:sz w:val="20"/>
          <w:szCs w:val="20"/>
        </w:rPr>
        <w:t xml:space="preserve">DLQs exist but there are no CloudWatch Alarms configured to alert when messages appear in DLQs.</w:t>
      </w:r>
    </w:p>
    <w:p>
      <w:pPr>
        <w:pStyle w:val="Heading3"/>
        <w:spacing w:before="240" w:after="120"/>
      </w:pPr>
      <w:r>
        <w:rPr>
          <w:rFonts w:ascii="Arial" w:cs="Arial" w:eastAsia="Arial" w:hAnsi="Arial"/>
          <w:b/>
          <w:bCs/>
          <w:sz w:val="22"/>
          <w:szCs w:val="22"/>
        </w:rPr>
        <w:t xml:space="preserve">3.1.3 Recommendations</w:t>
      </w:r>
    </w:p>
    <w:p>
      <w:pPr>
        <w:pStyle w:val="ListParagraph"/>
        <w:numPr>
          <w:ilvl w:val="0"/>
          <w:numId w:val="3"/>
        </w:numPr>
        <w:spacing w:after="60"/>
      </w:pPr>
      <w:r>
        <w:rPr>
          <w:rFonts w:ascii="Arial" w:cs="Arial" w:eastAsia="Arial" w:hAnsi="Arial"/>
          <w:sz w:val="20"/>
          <w:szCs w:val="20"/>
        </w:rPr>
        <w:t xml:space="preserve">Implement per-cell CloudWatch dashboards with composite alarms that aggregate cell health into a single indicator.</w:t>
      </w:r>
    </w:p>
    <w:p>
      <w:pPr>
        <w:pStyle w:val="ListParagraph"/>
        <w:numPr>
          <w:ilvl w:val="0"/>
          <w:numId w:val="3"/>
        </w:numPr>
        <w:spacing w:after="60"/>
      </w:pPr>
      <w:r>
        <w:rPr>
          <w:rFonts w:ascii="Arial" w:cs="Arial" w:eastAsia="Arial" w:hAnsi="Arial"/>
          <w:sz w:val="20"/>
          <w:szCs w:val="20"/>
        </w:rPr>
        <w:t xml:space="preserve">Create SSM Automation runbooks for common failure scenarios: DLQ message replay, Lambda throttle remediation, DynamoDB hot partition detection.</w:t>
      </w:r>
    </w:p>
    <w:p>
      <w:pPr>
        <w:pStyle w:val="ListParagraph"/>
        <w:numPr>
          <w:ilvl w:val="0"/>
          <w:numId w:val="3"/>
        </w:numPr>
        <w:spacing w:after="60"/>
      </w:pPr>
      <w:r>
        <w:rPr>
          <w:rFonts w:ascii="Arial" w:cs="Arial" w:eastAsia="Arial" w:hAnsi="Arial"/>
          <w:sz w:val="20"/>
          <w:szCs w:val="20"/>
        </w:rPr>
        <w:t xml:space="preserve">Establish independent CI/CD pipelines per cell using CodePipeline or equivalent, with automated rollback triggers tied to CloudWatch Alarms.</w:t>
      </w:r>
    </w:p>
    <w:p>
      <w:pPr>
        <w:pStyle w:val="ListParagraph"/>
        <w:numPr>
          <w:ilvl w:val="0"/>
          <w:numId w:val="3"/>
        </w:numPr>
        <w:spacing w:after="60"/>
      </w:pPr>
      <w:r>
        <w:rPr>
          <w:rFonts w:ascii="Arial" w:cs="Arial" w:eastAsia="Arial" w:hAnsi="Arial"/>
          <w:sz w:val="20"/>
          <w:szCs w:val="20"/>
        </w:rPr>
        <w:t xml:space="preserve">Implement Lambda alias-based weighted routing for canary deployments (e.g., 5% canary for 15 minutes before full promotion).</w:t>
      </w:r>
    </w:p>
    <w:p>
      <w:r>
        <w:br w:type="page"/>
      </w:r>
    </w:p>
    <w:p>
      <w:pPr>
        <w:pStyle w:val="Heading2"/>
        <w:spacing w:before="240" w:after="120"/>
      </w:pPr>
      <w:r>
        <w:rPr>
          <w:rFonts w:ascii="Arial" w:cs="Arial" w:eastAsia="Arial" w:hAnsi="Arial"/>
          <w:b/>
          <w:bCs/>
          <w:sz w:val="26"/>
          <w:szCs w:val="26"/>
        </w:rPr>
        <w:t xml:space="preserve">3.2 Security</w:t>
      </w:r>
    </w:p>
    <w:p>
      <w:pPr>
        <w:spacing w:after="120"/>
      </w:pPr>
      <w:r>
        <w:rPr>
          <w:rFonts w:ascii="Arial" w:cs="Arial" w:eastAsia="Arial" w:hAnsi="Arial"/>
          <w:b/>
          <w:bCs/>
          <w:sz w:val="20"/>
          <w:szCs w:val="20"/>
        </w:rPr>
        <w:t xml:space="preserve">Rating: Moderate Gaps</w:t>
      </w:r>
    </w:p>
    <w:p>
      <w:pPr>
        <w:pStyle w:val="Heading3"/>
        <w:spacing w:before="240" w:after="120"/>
      </w:pPr>
      <w:r>
        <w:rPr>
          <w:rFonts w:ascii="Arial" w:cs="Arial" w:eastAsia="Arial" w:hAnsi="Arial"/>
          <w:b/>
          <w:bCs/>
          <w:sz w:val="22"/>
          <w:szCs w:val="22"/>
        </w:rPr>
        <w:t xml:space="preserve">3.2.1 Strengths</w:t>
      </w:r>
    </w:p>
    <w:p>
      <w:pPr>
        <w:pStyle w:val="ListParagraph"/>
        <w:numPr>
          <w:ilvl w:val="0"/>
          <w:numId w:val="2"/>
        </w:numPr>
        <w:spacing w:after="60"/>
      </w:pPr>
      <w:r>
        <w:rPr>
          <w:rFonts w:ascii="Arial" w:cs="Arial" w:eastAsia="Arial" w:hAnsi="Arial"/>
          <w:sz w:val="20"/>
          <w:szCs w:val="20"/>
        </w:rPr>
        <w:t xml:space="preserve">KMS encryption at rest for all DynamoDB tables (Client, KYC, Onboarding).</w:t>
      </w:r>
    </w:p>
    <w:p>
      <w:pPr>
        <w:pStyle w:val="ListParagraph"/>
        <w:numPr>
          <w:ilvl w:val="0"/>
          <w:numId w:val="2"/>
        </w:numPr>
        <w:spacing w:after="60"/>
      </w:pPr>
      <w:r>
        <w:rPr>
          <w:rFonts w:ascii="Arial" w:cs="Arial" w:eastAsia="Arial" w:hAnsi="Arial"/>
          <w:sz w:val="20"/>
          <w:szCs w:val="20"/>
        </w:rPr>
        <w:t xml:space="preserve">IAM authorization on all API Gateways, enforcing identity-based access control.</w:t>
      </w:r>
    </w:p>
    <w:p>
      <w:pPr>
        <w:pStyle w:val="ListParagraph"/>
        <w:numPr>
          <w:ilvl w:val="0"/>
          <w:numId w:val="2"/>
        </w:numPr>
        <w:spacing w:after="60"/>
      </w:pPr>
      <w:r>
        <w:rPr>
          <w:rFonts w:ascii="Arial" w:cs="Arial" w:eastAsia="Arial" w:hAnsi="Arial"/>
          <w:sz w:val="20"/>
          <w:szCs w:val="20"/>
        </w:rPr>
        <w:t xml:space="preserve">Anti-Corruption Layer isolates the blast radius of third-party integrations.</w:t>
      </w:r>
    </w:p>
    <w:p>
      <w:pPr>
        <w:pStyle w:val="Heading3"/>
        <w:spacing w:before="240" w:after="120"/>
      </w:pPr>
      <w:r>
        <w:rPr>
          <w:rFonts w:ascii="Arial" w:cs="Arial" w:eastAsia="Arial" w:hAnsi="Arial"/>
          <w:b/>
          <w:bCs/>
          <w:sz w:val="22"/>
          <w:szCs w:val="22"/>
        </w:rPr>
        <w:t xml:space="preserve">3.2.2 Gaps Identified</w:t>
      </w:r>
    </w:p>
    <w:p>
      <w:pPr>
        <w:pStyle w:val="ListParagraph"/>
        <w:numPr>
          <w:ilvl w:val="0"/>
          <w:numId w:val="2"/>
        </w:numPr>
        <w:spacing w:after="60"/>
      </w:pPr>
      <w:r>
        <w:rPr>
          <w:rFonts w:ascii="Arial" w:cs="Arial" w:eastAsia="Arial" w:hAnsi="Arial"/>
          <w:b/>
          <w:bCs/>
          <w:sz w:val="20"/>
          <w:szCs w:val="20"/>
        </w:rPr>
        <w:t xml:space="preserve">No WAF (Web Application Firewall): </w:t>
      </w:r>
      <w:r>
        <w:rPr>
          <w:rFonts w:ascii="Arial" w:cs="Arial" w:eastAsia="Arial" w:hAnsi="Arial"/>
          <w:sz w:val="20"/>
          <w:szCs w:val="20"/>
        </w:rPr>
        <w:t xml:space="preserve">API Gateways are directly exposed without AWS WAF. For a private banking system, this is a critical gap. WAF should enforce rate limiting, geo-blocking, SQL injection protection, and bot detection.</w:t>
      </w:r>
    </w:p>
    <w:p>
      <w:pPr>
        <w:pStyle w:val="ListParagraph"/>
        <w:numPr>
          <w:ilvl w:val="0"/>
          <w:numId w:val="2"/>
        </w:numPr>
        <w:spacing w:after="60"/>
      </w:pPr>
      <w:r>
        <w:rPr>
          <w:rFonts w:ascii="Arial" w:cs="Arial" w:eastAsia="Arial" w:hAnsi="Arial"/>
          <w:b/>
          <w:bCs/>
          <w:sz w:val="20"/>
          <w:szCs w:val="20"/>
        </w:rPr>
        <w:t xml:space="preserve">No VPC isolation: </w:t>
      </w:r>
      <w:r>
        <w:rPr>
          <w:rFonts w:ascii="Arial" w:cs="Arial" w:eastAsia="Arial" w:hAnsi="Arial"/>
          <w:sz w:val="20"/>
          <w:szCs w:val="20"/>
        </w:rPr>
        <w:t xml:space="preserve">Lambda functions appear to run without VPC configuration. For PII/KYC data, Lambda should run inside private subnets with VPC endpoints for DynamoDB, SQS, EventBridge, and KMS, ensuring no data traverses the public internet.</w:t>
      </w:r>
    </w:p>
    <w:p>
      <w:pPr>
        <w:pStyle w:val="ListParagraph"/>
        <w:numPr>
          <w:ilvl w:val="0"/>
          <w:numId w:val="2"/>
        </w:numPr>
        <w:spacing w:after="60"/>
      </w:pPr>
      <w:r>
        <w:rPr>
          <w:rFonts w:ascii="Arial" w:cs="Arial" w:eastAsia="Arial" w:hAnsi="Arial"/>
          <w:b/>
          <w:bCs/>
          <w:sz w:val="20"/>
          <w:szCs w:val="20"/>
        </w:rPr>
        <w:t xml:space="preserve">Shared KMS key concern: </w:t>
      </w:r>
      <w:r>
        <w:rPr>
          <w:rFonts w:ascii="Arial" w:cs="Arial" w:eastAsia="Arial" w:hAnsi="Arial"/>
          <w:sz w:val="20"/>
          <w:szCs w:val="20"/>
        </w:rPr>
        <w:t xml:space="preserve">All cells appear to share a single KMS service. Each cell should have dedicated KMS keys with cell-specific key policies to enforce cryptographic isolation. A compromised key in one domain should not expose data in another.</w:t>
      </w:r>
    </w:p>
    <w:p>
      <w:pPr>
        <w:pStyle w:val="ListParagraph"/>
        <w:numPr>
          <w:ilvl w:val="0"/>
          <w:numId w:val="2"/>
        </w:numPr>
        <w:spacing w:after="60"/>
      </w:pPr>
      <w:r>
        <w:rPr>
          <w:rFonts w:ascii="Arial" w:cs="Arial" w:eastAsia="Arial" w:hAnsi="Arial"/>
          <w:b/>
          <w:bCs/>
          <w:sz w:val="20"/>
          <w:szCs w:val="20"/>
        </w:rPr>
        <w:t xml:space="preserve">Missing Secrets Manager: </w:t>
      </w:r>
      <w:r>
        <w:rPr>
          <w:rFonts w:ascii="Arial" w:cs="Arial" w:eastAsia="Arial" w:hAnsi="Arial"/>
          <w:sz w:val="20"/>
          <w:szCs w:val="20"/>
        </w:rPr>
        <w:t xml:space="preserve">There is no indication of secrets management for MongoDB Atlas connection strings, third-party screening API keys, or other credentials. These must never be embedded in Lambda environment variables.</w:t>
      </w:r>
    </w:p>
    <w:p>
      <w:pPr>
        <w:pStyle w:val="ListParagraph"/>
        <w:numPr>
          <w:ilvl w:val="0"/>
          <w:numId w:val="2"/>
        </w:numPr>
        <w:spacing w:after="60"/>
      </w:pPr>
      <w:r>
        <w:rPr>
          <w:rFonts w:ascii="Arial" w:cs="Arial" w:eastAsia="Arial" w:hAnsi="Arial"/>
          <w:b/>
          <w:bCs/>
          <w:sz w:val="20"/>
          <w:szCs w:val="20"/>
        </w:rPr>
        <w:t xml:space="preserve">No encryption in transit shown: </w:t>
      </w:r>
      <w:r>
        <w:rPr>
          <w:rFonts w:ascii="Arial" w:cs="Arial" w:eastAsia="Arial" w:hAnsi="Arial"/>
          <w:sz w:val="20"/>
          <w:szCs w:val="20"/>
        </w:rPr>
        <w:t xml:space="preserve">While KMS covers at-rest encryption, explicit TLS enforcement between Lambda and data stores, mutual TLS on API Gateways, and EventBridge encryption are not specified.</w:t>
      </w:r>
    </w:p>
    <w:p>
      <w:pPr>
        <w:pStyle w:val="ListParagraph"/>
        <w:numPr>
          <w:ilvl w:val="0"/>
          <w:numId w:val="2"/>
        </w:numPr>
        <w:spacing w:after="60"/>
      </w:pPr>
      <w:r>
        <w:rPr>
          <w:rFonts w:ascii="Arial" w:cs="Arial" w:eastAsia="Arial" w:hAnsi="Arial"/>
          <w:b/>
          <w:bCs/>
          <w:sz w:val="20"/>
          <w:szCs w:val="20"/>
        </w:rPr>
        <w:t xml:space="preserve">Account Cell MongoDB not KMS-encrypted: </w:t>
      </w:r>
      <w:r>
        <w:rPr>
          <w:rFonts w:ascii="Arial" w:cs="Arial" w:eastAsia="Arial" w:hAnsi="Arial"/>
          <w:sz w:val="20"/>
          <w:szCs w:val="20"/>
        </w:rPr>
        <w:t xml:space="preserve">MongoDB Atlas uses its own encryption but is not shown connecting to KMS, creating an inconsistency in the encryption posture.</w:t>
      </w:r>
    </w:p>
    <w:p>
      <w:pPr>
        <w:pStyle w:val="ListParagraph"/>
        <w:numPr>
          <w:ilvl w:val="0"/>
          <w:numId w:val="2"/>
        </w:numPr>
        <w:spacing w:after="60"/>
      </w:pPr>
      <w:r>
        <w:rPr>
          <w:rFonts w:ascii="Arial" w:cs="Arial" w:eastAsia="Arial" w:hAnsi="Arial"/>
          <w:b/>
          <w:bCs/>
          <w:sz w:val="20"/>
          <w:szCs w:val="20"/>
        </w:rPr>
        <w:t xml:space="preserve">Missing security services: </w:t>
      </w:r>
      <w:r>
        <w:rPr>
          <w:rFonts w:ascii="Arial" w:cs="Arial" w:eastAsia="Arial" w:hAnsi="Arial"/>
          <w:sz w:val="20"/>
          <w:szCs w:val="20"/>
        </w:rPr>
        <w:t xml:space="preserve">GuardDuty, Security Hub, Config, and CloudTrail are not shown. Banking workloads require comprehensive threat detection, compliance monitoring, and audit logging.</w:t>
      </w:r>
    </w:p>
    <w:p>
      <w:pPr>
        <w:pStyle w:val="ListParagraph"/>
        <w:numPr>
          <w:ilvl w:val="0"/>
          <w:numId w:val="2"/>
        </w:numPr>
        <w:spacing w:after="60"/>
      </w:pPr>
      <w:r>
        <w:rPr>
          <w:rFonts w:ascii="Arial" w:cs="Arial" w:eastAsia="Arial" w:hAnsi="Arial"/>
          <w:b/>
          <w:bCs/>
          <w:sz w:val="20"/>
          <w:szCs w:val="20"/>
        </w:rPr>
        <w:t xml:space="preserve">No API Gateway resource policies: </w:t>
      </w:r>
      <w:r>
        <w:rPr>
          <w:rFonts w:ascii="Arial" w:cs="Arial" w:eastAsia="Arial" w:hAnsi="Arial"/>
          <w:sz w:val="20"/>
          <w:szCs w:val="20"/>
        </w:rPr>
        <w:t xml:space="preserve">Resource policies should restrict API access to known IP ranges or VPC endpoints, especially for internal cell-to-cell communication.</w:t>
      </w:r>
    </w:p>
    <w:p>
      <w:pPr>
        <w:pStyle w:val="Heading3"/>
        <w:spacing w:before="240" w:after="120"/>
      </w:pPr>
      <w:r>
        <w:rPr>
          <w:rFonts w:ascii="Arial" w:cs="Arial" w:eastAsia="Arial" w:hAnsi="Arial"/>
          <w:b/>
          <w:bCs/>
          <w:sz w:val="22"/>
          <w:szCs w:val="22"/>
        </w:rPr>
        <w:t xml:space="preserve">3.2.3 Recommendations</w:t>
      </w:r>
    </w:p>
    <w:p>
      <w:pPr>
        <w:pStyle w:val="ListParagraph"/>
        <w:numPr>
          <w:ilvl w:val="0"/>
          <w:numId w:val="3"/>
        </w:numPr>
        <w:spacing w:after="60"/>
      </w:pPr>
      <w:r>
        <w:rPr>
          <w:rFonts w:ascii="Arial" w:cs="Arial" w:eastAsia="Arial" w:hAnsi="Arial"/>
          <w:sz w:val="20"/>
          <w:szCs w:val="20"/>
        </w:rPr>
        <w:t xml:space="preserve">Deploy AWS WAF on all three API Gateways with managed rule sets (AWSManagedRulesCommonRuleSet, AWSManagedRulesSQLiRuleSet, AWSManagedRulesKnownBadInputsRuleSet) plus custom rate-limiting rules per client.</w:t>
      </w:r>
    </w:p>
    <w:p>
      <w:pPr>
        <w:pStyle w:val="ListParagraph"/>
        <w:numPr>
          <w:ilvl w:val="0"/>
          <w:numId w:val="3"/>
        </w:numPr>
        <w:spacing w:after="60"/>
      </w:pPr>
      <w:r>
        <w:rPr>
          <w:rFonts w:ascii="Arial" w:cs="Arial" w:eastAsia="Arial" w:hAnsi="Arial"/>
          <w:sz w:val="20"/>
          <w:szCs w:val="20"/>
        </w:rPr>
        <w:t xml:space="preserve">Move all Lambda functions into private subnets within a dedicated VPC per cell, with VPC endpoints for all AWS service calls.</w:t>
      </w:r>
    </w:p>
    <w:p>
      <w:pPr>
        <w:pStyle w:val="ListParagraph"/>
        <w:numPr>
          <w:ilvl w:val="0"/>
          <w:numId w:val="3"/>
        </w:numPr>
        <w:spacing w:after="60"/>
      </w:pPr>
      <w:r>
        <w:rPr>
          <w:rFonts w:ascii="Arial" w:cs="Arial" w:eastAsia="Arial" w:hAnsi="Arial"/>
          <w:sz w:val="20"/>
          <w:szCs w:val="20"/>
        </w:rPr>
        <w:t xml:space="preserve">Create dedicated CMKs (Customer Managed Keys) per cell with key policies that restrict usage to that cell's IAM roles only.</w:t>
      </w:r>
    </w:p>
    <w:p>
      <w:pPr>
        <w:pStyle w:val="ListParagraph"/>
        <w:numPr>
          <w:ilvl w:val="0"/>
          <w:numId w:val="3"/>
        </w:numPr>
        <w:spacing w:after="60"/>
      </w:pPr>
      <w:r>
        <w:rPr>
          <w:rFonts w:ascii="Arial" w:cs="Arial" w:eastAsia="Arial" w:hAnsi="Arial"/>
          <w:sz w:val="20"/>
          <w:szCs w:val="20"/>
        </w:rPr>
        <w:t xml:space="preserve">Deploy Secrets Manager with automatic rotation for all credentials (MongoDB connection strings, third-party API keys).</w:t>
      </w:r>
    </w:p>
    <w:p>
      <w:pPr>
        <w:pStyle w:val="ListParagraph"/>
        <w:numPr>
          <w:ilvl w:val="0"/>
          <w:numId w:val="3"/>
        </w:numPr>
        <w:spacing w:after="60"/>
      </w:pPr>
      <w:r>
        <w:rPr>
          <w:rFonts w:ascii="Arial" w:cs="Arial" w:eastAsia="Arial" w:hAnsi="Arial"/>
          <w:sz w:val="20"/>
          <w:szCs w:val="20"/>
        </w:rPr>
        <w:t xml:space="preserve">Enable GuardDuty, Security Hub, AWS Config (with conformance packs for PCI-DSS/SOC2), and CloudTrail with S3 log integrity validation.</w:t>
      </w:r>
    </w:p>
    <w:p>
      <w:r>
        <w:br w:type="page"/>
      </w:r>
    </w:p>
    <w:p>
      <w:pPr>
        <w:pStyle w:val="Heading2"/>
        <w:spacing w:before="240" w:after="120"/>
      </w:pPr>
      <w:r>
        <w:rPr>
          <w:rFonts w:ascii="Arial" w:cs="Arial" w:eastAsia="Arial" w:hAnsi="Arial"/>
          <w:b/>
          <w:bCs/>
          <w:sz w:val="26"/>
          <w:szCs w:val="26"/>
        </w:rPr>
        <w:t xml:space="preserve">3.3 Reliability</w:t>
      </w:r>
    </w:p>
    <w:p>
      <w:pPr>
        <w:spacing w:after="120"/>
      </w:pPr>
      <w:r>
        <w:rPr>
          <w:rFonts w:ascii="Arial" w:cs="Arial" w:eastAsia="Arial" w:hAnsi="Arial"/>
          <w:b/>
          <w:bCs/>
          <w:sz w:val="20"/>
          <w:szCs w:val="20"/>
        </w:rPr>
        <w:t xml:space="preserve">Rating: Major Gaps</w:t>
      </w:r>
      <w:r>
        <w:rPr>
          <w:rFonts w:ascii="Arial" w:cs="Arial" w:eastAsia="Arial" w:hAnsi="Arial"/>
          <w:sz w:val="20"/>
          <w:szCs w:val="20"/>
        </w:rPr>
        <w:t xml:space="preserve"> - This is the most critical area requiring remediation.</w:t>
      </w:r>
    </w:p>
    <w:p>
      <w:pPr>
        <w:pStyle w:val="Heading3"/>
        <w:spacing w:before="240" w:after="120"/>
      </w:pPr>
      <w:r>
        <w:rPr>
          <w:rFonts w:ascii="Arial" w:cs="Arial" w:eastAsia="Arial" w:hAnsi="Arial"/>
          <w:b/>
          <w:bCs/>
          <w:sz w:val="22"/>
          <w:szCs w:val="22"/>
        </w:rPr>
        <w:t xml:space="preserve">3.3.1 Strengths</w:t>
      </w:r>
    </w:p>
    <w:p>
      <w:pPr>
        <w:pStyle w:val="ListParagraph"/>
        <w:numPr>
          <w:ilvl w:val="0"/>
          <w:numId w:val="2"/>
        </w:numPr>
        <w:spacing w:after="60"/>
      </w:pPr>
      <w:r>
        <w:rPr>
          <w:rFonts w:ascii="Arial" w:cs="Arial" w:eastAsia="Arial" w:hAnsi="Arial"/>
          <w:sz w:val="20"/>
          <w:szCs w:val="20"/>
        </w:rPr>
        <w:t xml:space="preserve">DLQs on every event bus prevent poison messages from blocking event processing and enable replay.</w:t>
      </w:r>
    </w:p>
    <w:p>
      <w:pPr>
        <w:pStyle w:val="ListParagraph"/>
        <w:numPr>
          <w:ilvl w:val="0"/>
          <w:numId w:val="2"/>
        </w:numPr>
        <w:spacing w:after="60"/>
      </w:pPr>
      <w:r>
        <w:rPr>
          <w:rFonts w:ascii="Arial" w:cs="Arial" w:eastAsia="Arial" w:hAnsi="Arial"/>
          <w:sz w:val="20"/>
          <w:szCs w:val="20"/>
        </w:rPr>
        <w:t xml:space="preserve">DynamoDB provides automatic multi-AZ replication within a single region with 99.999% availability for Global Tables.</w:t>
      </w:r>
    </w:p>
    <w:p>
      <w:pPr>
        <w:pStyle w:val="ListParagraph"/>
        <w:numPr>
          <w:ilvl w:val="0"/>
          <w:numId w:val="2"/>
        </w:numPr>
        <w:spacing w:after="60"/>
      </w:pPr>
      <w:r>
        <w:rPr>
          <w:rFonts w:ascii="Arial" w:cs="Arial" w:eastAsia="Arial" w:hAnsi="Arial"/>
          <w:sz w:val="20"/>
          <w:szCs w:val="20"/>
        </w:rPr>
        <w:t xml:space="preserve">Serverless compute (Lambda) eliminates single-instance failure modes and provides automatic scaling.</w:t>
      </w:r>
    </w:p>
    <w:p>
      <w:pPr>
        <w:pStyle w:val="ListParagraph"/>
        <w:numPr>
          <w:ilvl w:val="0"/>
          <w:numId w:val="2"/>
        </w:numPr>
        <w:spacing w:after="60"/>
      </w:pPr>
      <w:r>
        <w:rPr>
          <w:rFonts w:ascii="Arial" w:cs="Arial" w:eastAsia="Arial" w:hAnsi="Arial"/>
          <w:sz w:val="20"/>
          <w:szCs w:val="20"/>
        </w:rPr>
        <w:t xml:space="preserve">Event-driven asynchronous communication prevents cascading failures from synchronous call chains.</w:t>
      </w:r>
    </w:p>
    <w:p>
      <w:pPr>
        <w:pStyle w:val="ListParagraph"/>
        <w:numPr>
          <w:ilvl w:val="0"/>
          <w:numId w:val="2"/>
        </w:numPr>
        <w:spacing w:after="60"/>
      </w:pPr>
      <w:r>
        <w:rPr>
          <w:rFonts w:ascii="Arial" w:cs="Arial" w:eastAsia="Arial" w:hAnsi="Arial"/>
          <w:sz w:val="20"/>
          <w:szCs w:val="20"/>
        </w:rPr>
        <w:t xml:space="preserve">Saga Coordinator pattern enables compensating transactions when multi-cell workflows fail.</w:t>
      </w:r>
    </w:p>
    <w:p>
      <w:pPr>
        <w:pStyle w:val="Heading3"/>
        <w:spacing w:before="240" w:after="120"/>
      </w:pPr>
      <w:r>
        <w:rPr>
          <w:rFonts w:ascii="Arial" w:cs="Arial" w:eastAsia="Arial" w:hAnsi="Arial"/>
          <w:b/>
          <w:bCs/>
          <w:sz w:val="22"/>
          <w:szCs w:val="22"/>
        </w:rPr>
        <w:t xml:space="preserve">3.3.2 Critical Gaps</w:t>
      </w:r>
    </w:p>
    <w:p>
      <w:pPr>
        <w:spacing w:after="120"/>
      </w:pPr>
      <w:r>
        <w:rPr>
          <w:rFonts w:ascii="Arial" w:cs="Arial" w:eastAsia="Arial" w:hAnsi="Arial"/>
          <w:b/>
          <w:bCs/>
          <w:sz w:val="20"/>
          <w:szCs w:val="20"/>
        </w:rPr>
        <w:t xml:space="preserve">Gap 1: No Multi-Region Architecture</w:t>
      </w:r>
      <w:r>
        <w:rPr>
          <w:rFonts w:ascii="Arial" w:cs="Arial" w:eastAsia="Arial" w:hAnsi="Arial"/>
          <w:sz w:val="20"/>
          <w:szCs w:val="20"/>
        </w:rPr>
        <w:t xml:space="preserve"> - Despite being described as multi-region, the architecture shows zero multi-region components. For a private banking system, this is an existential risk.</w:t>
      </w:r>
    </w:p>
    <w:p>
      <w:pPr>
        <w:pStyle w:val="ListParagraph"/>
        <w:numPr>
          <w:ilvl w:val="0"/>
          <w:numId w:val="2"/>
        </w:numPr>
        <w:spacing w:after="60"/>
      </w:pPr>
      <w:r>
        <w:rPr>
          <w:rFonts w:ascii="Arial" w:cs="Arial" w:eastAsia="Arial" w:hAnsi="Arial"/>
          <w:sz w:val="20"/>
          <w:szCs w:val="20"/>
        </w:rPr>
        <w:t xml:space="preserve">No Route 53 health checks or failover routing</w:t>
      </w:r>
    </w:p>
    <w:p>
      <w:pPr>
        <w:pStyle w:val="ListParagraph"/>
        <w:numPr>
          <w:ilvl w:val="0"/>
          <w:numId w:val="2"/>
        </w:numPr>
        <w:spacing w:after="60"/>
      </w:pPr>
      <w:r>
        <w:rPr>
          <w:rFonts w:ascii="Arial" w:cs="Arial" w:eastAsia="Arial" w:hAnsi="Arial"/>
          <w:sz w:val="20"/>
          <w:szCs w:val="20"/>
        </w:rPr>
        <w:t xml:space="preserve">No DynamoDB Global Tables for cross-region data replication</w:t>
      </w:r>
    </w:p>
    <w:p>
      <w:pPr>
        <w:pStyle w:val="ListParagraph"/>
        <w:numPr>
          <w:ilvl w:val="0"/>
          <w:numId w:val="2"/>
        </w:numPr>
        <w:spacing w:after="60"/>
      </w:pPr>
      <w:r>
        <w:rPr>
          <w:rFonts w:ascii="Arial" w:cs="Arial" w:eastAsia="Arial" w:hAnsi="Arial"/>
          <w:sz w:val="20"/>
          <w:szCs w:val="20"/>
        </w:rPr>
        <w:t xml:space="preserve">No EventBridge Global Endpoints for cross-region event replication</w:t>
      </w:r>
    </w:p>
    <w:p>
      <w:pPr>
        <w:pStyle w:val="ListParagraph"/>
        <w:numPr>
          <w:ilvl w:val="0"/>
          <w:numId w:val="2"/>
        </w:numPr>
        <w:spacing w:after="60"/>
      </w:pPr>
      <w:r>
        <w:rPr>
          <w:rFonts w:ascii="Arial" w:cs="Arial" w:eastAsia="Arial" w:hAnsi="Arial"/>
          <w:sz w:val="20"/>
          <w:szCs w:val="20"/>
        </w:rPr>
        <w:t xml:space="preserve">No cross-region Lambda deployment or API Gateway failover</w:t>
      </w:r>
    </w:p>
    <w:p>
      <w:pPr>
        <w:pStyle w:val="ListParagraph"/>
        <w:numPr>
          <w:ilvl w:val="0"/>
          <w:numId w:val="2"/>
        </w:numPr>
        <w:spacing w:after="60"/>
      </w:pPr>
      <w:r>
        <w:rPr>
          <w:rFonts w:ascii="Arial" w:cs="Arial" w:eastAsia="Arial" w:hAnsi="Arial"/>
          <w:sz w:val="20"/>
          <w:szCs w:val="20"/>
        </w:rPr>
        <w:t xml:space="preserve">No defined RPO (Recovery Point Objective) or RTO (Recovery Time Objective)</w:t>
      </w:r>
    </w:p>
    <w:p>
      <w:pPr>
        <w:pStyle w:val="ListParagraph"/>
        <w:numPr>
          <w:ilvl w:val="0"/>
          <w:numId w:val="2"/>
        </w:numPr>
        <w:spacing w:after="60"/>
      </w:pPr>
      <w:r>
        <w:rPr>
          <w:rFonts w:ascii="Arial" w:cs="Arial" w:eastAsia="Arial" w:hAnsi="Arial"/>
          <w:sz w:val="20"/>
          <w:szCs w:val="20"/>
        </w:rPr>
        <w:t xml:space="preserve">MongoDB Atlas multi-region cluster configuration is not specified</w:t>
      </w:r>
    </w:p>
    <w:p>
      <w:pPr>
        <w:spacing w:after="120"/>
      </w:pPr>
      <w:r>
        <w:rPr>
          <w:rFonts w:ascii="Arial" w:cs="Arial" w:eastAsia="Arial" w:hAnsi="Arial"/>
          <w:b/>
          <w:bCs/>
          <w:sz w:val="20"/>
          <w:szCs w:val="20"/>
        </w:rPr>
        <w:t xml:space="preserve">Gap 2: Onboarding Event Bus is a Single Point of Failure</w:t>
      </w:r>
      <w:r>
        <w:rPr>
          <w:rFonts w:ascii="Arial" w:cs="Arial" w:eastAsia="Arial" w:hAnsi="Arial"/>
          <w:sz w:val="20"/>
          <w:szCs w:val="20"/>
        </w:rPr>
        <w:t xml:space="preserve"> - The Onboarding Public Event Bus acts as the central hub for ALL cross-domain event routing. If this event bus experiences a regional EventBridge issue or reaches account limits, all cross-cell communication halts simultaneously. This directly violates the fundamental cell-based architecture principle of fault isolation.</w:t>
      </w:r>
    </w:p>
    <w:p>
      <w:pPr>
        <w:spacing w:after="120"/>
      </w:pPr>
      <w:r>
        <w:rPr>
          <w:rFonts w:ascii="Arial" w:cs="Arial" w:eastAsia="Arial" w:hAnsi="Arial"/>
          <w:b/>
          <w:bCs/>
          <w:sz w:val="20"/>
          <w:szCs w:val="20"/>
        </w:rPr>
        <w:t xml:space="preserve">Gap 3: No Cell Router Pattern</w:t>
      </w:r>
      <w:r>
        <w:rPr>
          <w:rFonts w:ascii="Arial" w:cs="Arial" w:eastAsia="Arial" w:hAnsi="Arial"/>
          <w:sz w:val="20"/>
          <w:szCs w:val="20"/>
        </w:rPr>
        <w:t xml:space="preserve"> - True AWS cell-based architecture requires a cell router that partitions traffic across multiple instances of the same cell (e.g., by geography, client tier, or hash). The current architecture uses domain boundaries as cell boundaries, which provides bounded context isolation but not blast radius reduction through horizontal partitioning. If the Client Cell fails, 100% of client operations are affected, not a subset.</w:t>
      </w:r>
    </w:p>
    <w:p>
      <w:pPr>
        <w:spacing w:after="120"/>
      </w:pPr>
      <w:r>
        <w:rPr>
          <w:rFonts w:ascii="Arial" w:cs="Arial" w:eastAsia="Arial" w:hAnsi="Arial"/>
          <w:b/>
          <w:bCs/>
          <w:sz w:val="20"/>
          <w:szCs w:val="20"/>
        </w:rPr>
        <w:t xml:space="preserve">Gap 4: No Circuit Breakers or Bulkheads</w:t>
      </w:r>
      <w:r>
        <w:rPr>
          <w:rFonts w:ascii="Arial" w:cs="Arial" w:eastAsia="Arial" w:hAnsi="Arial"/>
          <w:sz w:val="20"/>
          <w:szCs w:val="20"/>
        </w:rPr>
        <w:t xml:space="preserve"> - There are no circuit breaker patterns on cross-cell communication. If the KYC third-party screening service degrades, the KYC cell should not cascade failure to the Onboarding saga. Lambda Destinations, Step Functions, or application-level circuit breaker libraries are absent.</w:t>
      </w:r>
    </w:p>
    <w:p>
      <w:pPr>
        <w:spacing w:after="120"/>
      </w:pPr>
      <w:r>
        <w:rPr>
          <w:rFonts w:ascii="Arial" w:cs="Arial" w:eastAsia="Arial" w:hAnsi="Arial"/>
          <w:b/>
          <w:bCs/>
          <w:sz w:val="20"/>
          <w:szCs w:val="20"/>
        </w:rPr>
        <w:t xml:space="preserve">Gap 5: Account Cell Has No API Gateway</w:t>
      </w:r>
      <w:r>
        <w:rPr>
          <w:rFonts w:ascii="Arial" w:cs="Arial" w:eastAsia="Arial" w:hAnsi="Arial"/>
          <w:sz w:val="20"/>
          <w:szCs w:val="20"/>
        </w:rPr>
        <w:t xml:space="preserve"> - The Account Cell lacks an external entry point. While this may be intentional (event-driven only), it means there is no way to query account status directly, forcing all queries to route through other cells and creating tight coupling.</w:t>
      </w:r>
    </w:p>
    <w:p>
      <w:pPr>
        <w:pStyle w:val="Heading3"/>
        <w:spacing w:before="240" w:after="120"/>
      </w:pPr>
      <w:r>
        <w:rPr>
          <w:rFonts w:ascii="Arial" w:cs="Arial" w:eastAsia="Arial" w:hAnsi="Arial"/>
          <w:b/>
          <w:bCs/>
          <w:sz w:val="22"/>
          <w:szCs w:val="22"/>
        </w:rPr>
        <w:t xml:space="preserve">3.3.3 Recommendations</w:t>
      </w:r>
    </w:p>
    <w:p>
      <w:pPr>
        <w:pStyle w:val="ListParagraph"/>
        <w:numPr>
          <w:ilvl w:val="0"/>
          <w:numId w:val="3"/>
        </w:numPr>
        <w:spacing w:after="60"/>
      </w:pPr>
      <w:r>
        <w:rPr>
          <w:rFonts w:ascii="Arial" w:cs="Arial" w:eastAsia="Arial" w:hAnsi="Arial"/>
          <w:sz w:val="20"/>
          <w:szCs w:val="20"/>
        </w:rPr>
        <w:t xml:space="preserve">Implement active-passive multi-region with Route 53 health-check failover. Primary in us-east-1, secondary in eu-west-1 (aligned with banking regulatory requirements for data residency).</w:t>
      </w:r>
    </w:p>
    <w:p>
      <w:pPr>
        <w:pStyle w:val="ListParagraph"/>
        <w:numPr>
          <w:ilvl w:val="0"/>
          <w:numId w:val="3"/>
        </w:numPr>
        <w:spacing w:after="60"/>
      </w:pPr>
      <w:r>
        <w:rPr>
          <w:rFonts w:ascii="Arial" w:cs="Arial" w:eastAsia="Arial" w:hAnsi="Arial"/>
          <w:sz w:val="20"/>
          <w:szCs w:val="20"/>
        </w:rPr>
        <w:t xml:space="preserve">Enable DynamoDB Global Tables across both regions for all three DynamoDB tables.</w:t>
      </w:r>
    </w:p>
    <w:p>
      <w:pPr>
        <w:pStyle w:val="ListParagraph"/>
        <w:numPr>
          <w:ilvl w:val="0"/>
          <w:numId w:val="3"/>
        </w:numPr>
        <w:spacing w:after="60"/>
      </w:pPr>
      <w:r>
        <w:rPr>
          <w:rFonts w:ascii="Arial" w:cs="Arial" w:eastAsia="Arial" w:hAnsi="Arial"/>
          <w:sz w:val="20"/>
          <w:szCs w:val="20"/>
        </w:rPr>
        <w:t xml:space="preserve">Configure EventBridge Global Endpoints for cross-region event replication with failover.</w:t>
      </w:r>
    </w:p>
    <w:p>
      <w:pPr>
        <w:pStyle w:val="ListParagraph"/>
        <w:numPr>
          <w:ilvl w:val="0"/>
          <w:numId w:val="3"/>
        </w:numPr>
        <w:spacing w:after="60"/>
      </w:pPr>
      <w:r>
        <w:rPr>
          <w:rFonts w:ascii="Arial" w:cs="Arial" w:eastAsia="Arial" w:hAnsi="Arial"/>
          <w:sz w:val="20"/>
          <w:szCs w:val="20"/>
        </w:rPr>
        <w:t xml:space="preserve">Replace the Onboarding hub topology with a mesh pattern: use EventBridge Rules with direct cell-to-cell routing rather than funneling everything through a single bus.</w:t>
      </w:r>
    </w:p>
    <w:p>
      <w:pPr>
        <w:pStyle w:val="ListParagraph"/>
        <w:numPr>
          <w:ilvl w:val="0"/>
          <w:numId w:val="3"/>
        </w:numPr>
        <w:spacing w:after="60"/>
      </w:pPr>
      <w:r>
        <w:rPr>
          <w:rFonts w:ascii="Arial" w:cs="Arial" w:eastAsia="Arial" w:hAnsi="Arial"/>
          <w:sz w:val="20"/>
          <w:szCs w:val="20"/>
        </w:rPr>
        <w:t xml:space="preserve">Implement a cell router using Route 53 weighted routing + API Gateway stages or a Lambda@Edge cell-routing function that can isolate traffic by client segment.</w:t>
      </w:r>
    </w:p>
    <w:p>
      <w:pPr>
        <w:pStyle w:val="ListParagraph"/>
        <w:numPr>
          <w:ilvl w:val="0"/>
          <w:numId w:val="3"/>
        </w:numPr>
        <w:spacing w:after="60"/>
      </w:pPr>
      <w:r>
        <w:rPr>
          <w:rFonts w:ascii="Arial" w:cs="Arial" w:eastAsia="Arial" w:hAnsi="Arial"/>
          <w:sz w:val="20"/>
          <w:szCs w:val="20"/>
        </w:rPr>
        <w:t xml:space="preserve">Add circuit breakers on all cross-cell invocations using Step Functions with retry/backoff/catch patterns or a Lambda-layer circuit breaker library.</w:t>
      </w:r>
    </w:p>
    <w:p>
      <w:pPr>
        <w:pStyle w:val="ListParagraph"/>
        <w:numPr>
          <w:ilvl w:val="0"/>
          <w:numId w:val="3"/>
        </w:numPr>
        <w:spacing w:after="60"/>
      </w:pPr>
      <w:r>
        <w:rPr>
          <w:rFonts w:ascii="Arial" w:cs="Arial" w:eastAsia="Arial" w:hAnsi="Arial"/>
          <w:sz w:val="20"/>
          <w:szCs w:val="20"/>
        </w:rPr>
        <w:t xml:space="preserve">Define explicit RPO/RTO targets: recommended RPO &lt; 1 minute, RTO &lt; 5 minutes for a private banking workload.</w:t>
      </w:r>
    </w:p>
    <w:p>
      <w:r>
        <w:br w:type="page"/>
      </w:r>
    </w:p>
    <w:p>
      <w:pPr>
        <w:pStyle w:val="Heading2"/>
        <w:spacing w:before="240" w:after="120"/>
      </w:pPr>
      <w:r>
        <w:rPr>
          <w:rFonts w:ascii="Arial" w:cs="Arial" w:eastAsia="Arial" w:hAnsi="Arial"/>
          <w:b/>
          <w:bCs/>
          <w:sz w:val="26"/>
          <w:szCs w:val="26"/>
        </w:rPr>
        <w:t xml:space="preserve">3.4 Performance Efficiency</w:t>
      </w:r>
    </w:p>
    <w:p>
      <w:pPr>
        <w:spacing w:after="120"/>
      </w:pPr>
      <w:r>
        <w:rPr>
          <w:rFonts w:ascii="Arial" w:cs="Arial" w:eastAsia="Arial" w:hAnsi="Arial"/>
          <w:b/>
          <w:bCs/>
          <w:sz w:val="20"/>
          <w:szCs w:val="20"/>
        </w:rPr>
        <w:t xml:space="preserve">Rating: Good</w:t>
      </w:r>
    </w:p>
    <w:p>
      <w:pPr>
        <w:pStyle w:val="Heading3"/>
        <w:spacing w:before="240" w:after="120"/>
      </w:pPr>
      <w:r>
        <w:rPr>
          <w:rFonts w:ascii="Arial" w:cs="Arial" w:eastAsia="Arial" w:hAnsi="Arial"/>
          <w:b/>
          <w:bCs/>
          <w:sz w:val="22"/>
          <w:szCs w:val="22"/>
        </w:rPr>
        <w:t xml:space="preserve">3.4.1 Strengths</w:t>
      </w:r>
    </w:p>
    <w:p>
      <w:pPr>
        <w:pStyle w:val="ListParagraph"/>
        <w:numPr>
          <w:ilvl w:val="0"/>
          <w:numId w:val="2"/>
        </w:numPr>
        <w:spacing w:after="60"/>
      </w:pPr>
      <w:r>
        <w:rPr>
          <w:rFonts w:ascii="Arial" w:cs="Arial" w:eastAsia="Arial" w:hAnsi="Arial"/>
          <w:sz w:val="20"/>
          <w:szCs w:val="20"/>
        </w:rPr>
        <w:t xml:space="preserve">Lambda serverless compute provides automatic scaling and eliminates capacity planning overhead.</w:t>
      </w:r>
    </w:p>
    <w:p>
      <w:pPr>
        <w:pStyle w:val="ListParagraph"/>
        <w:numPr>
          <w:ilvl w:val="0"/>
          <w:numId w:val="2"/>
        </w:numPr>
        <w:spacing w:after="60"/>
      </w:pPr>
      <w:r>
        <w:rPr>
          <w:rFonts w:ascii="Arial" w:cs="Arial" w:eastAsia="Arial" w:hAnsi="Arial"/>
          <w:sz w:val="20"/>
          <w:szCs w:val="20"/>
        </w:rPr>
        <w:t xml:space="preserve">DynamoDB on-demand or provisioned capacity with auto-scaling delivers single-digit millisecond latency at any scale.</w:t>
      </w:r>
    </w:p>
    <w:p>
      <w:pPr>
        <w:pStyle w:val="ListParagraph"/>
        <w:numPr>
          <w:ilvl w:val="0"/>
          <w:numId w:val="2"/>
        </w:numPr>
        <w:spacing w:after="60"/>
      </w:pPr>
      <w:r>
        <w:rPr>
          <w:rFonts w:ascii="Arial" w:cs="Arial" w:eastAsia="Arial" w:hAnsi="Arial"/>
          <w:sz w:val="20"/>
          <w:szCs w:val="20"/>
        </w:rPr>
        <w:t xml:space="preserve">EventBridge provides native event filtering, reducing unnecessary Lambda invocations and cost.</w:t>
      </w:r>
    </w:p>
    <w:p>
      <w:pPr>
        <w:pStyle w:val="Heading3"/>
        <w:spacing w:before="240" w:after="120"/>
      </w:pPr>
      <w:r>
        <w:rPr>
          <w:rFonts w:ascii="Arial" w:cs="Arial" w:eastAsia="Arial" w:hAnsi="Arial"/>
          <w:b/>
          <w:bCs/>
          <w:sz w:val="22"/>
          <w:szCs w:val="22"/>
        </w:rPr>
        <w:t xml:space="preserve">3.4.2 Gaps Identified</w:t>
      </w:r>
    </w:p>
    <w:p>
      <w:pPr>
        <w:pStyle w:val="ListParagraph"/>
        <w:numPr>
          <w:ilvl w:val="0"/>
          <w:numId w:val="2"/>
        </w:numPr>
        <w:spacing w:after="60"/>
      </w:pPr>
      <w:r>
        <w:rPr>
          <w:rFonts w:ascii="Arial" w:cs="Arial" w:eastAsia="Arial" w:hAnsi="Arial"/>
          <w:b/>
          <w:bCs/>
          <w:sz w:val="20"/>
          <w:szCs w:val="20"/>
        </w:rPr>
        <w:t xml:space="preserve">MongoDB Atlas in Account Cell: </w:t>
      </w:r>
      <w:r>
        <w:rPr>
          <w:rFonts w:ascii="Arial" w:cs="Arial" w:eastAsia="Arial" w:hAnsi="Arial"/>
          <w:sz w:val="20"/>
          <w:szCs w:val="20"/>
        </w:rPr>
        <w:t xml:space="preserve">Unlike DynamoDB which is deeply integrated with AWS IAM, VPC endpoints, and KMS, MongoDB Atlas introduces a cross-network call. Connection pooling, cold-start latency, and network egress must be carefully managed. Consider DAX (DynamoDB Accelerator) if sub-millisecond reads are required for account data.</w:t>
      </w:r>
    </w:p>
    <w:p>
      <w:pPr>
        <w:pStyle w:val="ListParagraph"/>
        <w:numPr>
          <w:ilvl w:val="0"/>
          <w:numId w:val="2"/>
        </w:numPr>
        <w:spacing w:after="60"/>
      </w:pPr>
      <w:r>
        <w:rPr>
          <w:rFonts w:ascii="Arial" w:cs="Arial" w:eastAsia="Arial" w:hAnsi="Arial"/>
          <w:b/>
          <w:bCs/>
          <w:sz w:val="20"/>
          <w:szCs w:val="20"/>
        </w:rPr>
        <w:t xml:space="preserve">No caching layer: </w:t>
      </w:r>
      <w:r>
        <w:rPr>
          <w:rFonts w:ascii="Arial" w:cs="Arial" w:eastAsia="Arial" w:hAnsi="Arial"/>
          <w:sz w:val="20"/>
          <w:szCs w:val="20"/>
        </w:rPr>
        <w:t xml:space="preserve">For read-heavy client lookups and KYC status checks, an ElastiCache (Redis) or DAX layer would significantly reduce DynamoDB read costs and latency.</w:t>
      </w:r>
    </w:p>
    <w:p>
      <w:pPr>
        <w:pStyle w:val="ListParagraph"/>
        <w:numPr>
          <w:ilvl w:val="0"/>
          <w:numId w:val="2"/>
        </w:numPr>
        <w:spacing w:after="60"/>
      </w:pPr>
      <w:r>
        <w:rPr>
          <w:rFonts w:ascii="Arial" w:cs="Arial" w:eastAsia="Arial" w:hAnsi="Arial"/>
          <w:b/>
          <w:bCs/>
          <w:sz w:val="20"/>
          <w:szCs w:val="20"/>
        </w:rPr>
        <w:t xml:space="preserve">Lambda cold starts: </w:t>
      </w:r>
      <w:r>
        <w:rPr>
          <w:rFonts w:ascii="Arial" w:cs="Arial" w:eastAsia="Arial" w:hAnsi="Arial"/>
          <w:sz w:val="20"/>
          <w:szCs w:val="20"/>
        </w:rPr>
        <w:t xml:space="preserve">For time-sensitive banking operations, provisioned concurrency should be configured on critical Lambda functions (particularly the Saga Coordinator and KYC Lambda).</w:t>
      </w:r>
    </w:p>
    <w:p>
      <w:pPr>
        <w:pStyle w:val="ListParagraph"/>
        <w:numPr>
          <w:ilvl w:val="0"/>
          <w:numId w:val="2"/>
        </w:numPr>
        <w:spacing w:after="60"/>
      </w:pPr>
      <w:r>
        <w:rPr>
          <w:rFonts w:ascii="Arial" w:cs="Arial" w:eastAsia="Arial" w:hAnsi="Arial"/>
          <w:b/>
          <w:bCs/>
          <w:sz w:val="20"/>
          <w:szCs w:val="20"/>
        </w:rPr>
        <w:t xml:space="preserve">No API Gateway caching: </w:t>
      </w:r>
      <w:r>
        <w:rPr>
          <w:rFonts w:ascii="Arial" w:cs="Arial" w:eastAsia="Arial" w:hAnsi="Arial"/>
          <w:sz w:val="20"/>
          <w:szCs w:val="20"/>
        </w:rPr>
        <w:t xml:space="preserve">API Gateway response caching is not configured for read-heavy endpoints.</w:t>
      </w:r>
    </w:p>
    <w:p>
      <w:pPr>
        <w:pStyle w:val="Heading3"/>
        <w:spacing w:before="240" w:after="120"/>
      </w:pPr>
      <w:r>
        <w:rPr>
          <w:rFonts w:ascii="Arial" w:cs="Arial" w:eastAsia="Arial" w:hAnsi="Arial"/>
          <w:b/>
          <w:bCs/>
          <w:sz w:val="22"/>
          <w:szCs w:val="22"/>
        </w:rPr>
        <w:t xml:space="preserve">3.4.3 Recommendations</w:t>
      </w:r>
    </w:p>
    <w:p>
      <w:pPr>
        <w:pStyle w:val="ListParagraph"/>
        <w:numPr>
          <w:ilvl w:val="0"/>
          <w:numId w:val="3"/>
        </w:numPr>
        <w:spacing w:after="60"/>
      </w:pPr>
      <w:r>
        <w:rPr>
          <w:rFonts w:ascii="Arial" w:cs="Arial" w:eastAsia="Arial" w:hAnsi="Arial"/>
          <w:sz w:val="20"/>
          <w:szCs w:val="20"/>
        </w:rPr>
        <w:t xml:space="preserve">Evaluate replacing MongoDB Atlas with DynamoDB for consistency across all cells, or justify the MongoDB choice with documented requirements (e.g., complex querying, document flexibility).</w:t>
      </w:r>
    </w:p>
    <w:p>
      <w:pPr>
        <w:pStyle w:val="ListParagraph"/>
        <w:numPr>
          <w:ilvl w:val="0"/>
          <w:numId w:val="3"/>
        </w:numPr>
        <w:spacing w:after="60"/>
      </w:pPr>
      <w:r>
        <w:rPr>
          <w:rFonts w:ascii="Arial" w:cs="Arial" w:eastAsia="Arial" w:hAnsi="Arial"/>
          <w:sz w:val="20"/>
          <w:szCs w:val="20"/>
        </w:rPr>
        <w:t xml:space="preserve">Implement DAX or ElastiCache for high-frequency read paths.</w:t>
      </w:r>
    </w:p>
    <w:p>
      <w:pPr>
        <w:pStyle w:val="ListParagraph"/>
        <w:numPr>
          <w:ilvl w:val="0"/>
          <w:numId w:val="3"/>
        </w:numPr>
        <w:spacing w:after="60"/>
      </w:pPr>
      <w:r>
        <w:rPr>
          <w:rFonts w:ascii="Arial" w:cs="Arial" w:eastAsia="Arial" w:hAnsi="Arial"/>
          <w:sz w:val="20"/>
          <w:szCs w:val="20"/>
        </w:rPr>
        <w:t xml:space="preserve">Configure provisioned concurrency on latency-sensitive Lambda functions.</w:t>
      </w:r>
    </w:p>
    <w:p>
      <w:pPr>
        <w:pStyle w:val="ListParagraph"/>
        <w:numPr>
          <w:ilvl w:val="0"/>
          <w:numId w:val="3"/>
        </w:numPr>
        <w:spacing w:after="60"/>
      </w:pPr>
      <w:r>
        <w:rPr>
          <w:rFonts w:ascii="Arial" w:cs="Arial" w:eastAsia="Arial" w:hAnsi="Arial"/>
          <w:sz w:val="20"/>
          <w:szCs w:val="20"/>
        </w:rPr>
        <w:t xml:space="preserve">Enable API Gateway caching on GET endpoints with appropriate TTLs and cache key strategies.</w:t>
      </w:r>
    </w:p>
    <w:p>
      <w:pPr>
        <w:pStyle w:val="Heading2"/>
        <w:spacing w:before="240" w:after="120"/>
      </w:pPr>
      <w:r>
        <w:rPr>
          <w:rFonts w:ascii="Arial" w:cs="Arial" w:eastAsia="Arial" w:hAnsi="Arial"/>
          <w:b/>
          <w:bCs/>
          <w:sz w:val="26"/>
          <w:szCs w:val="26"/>
        </w:rPr>
        <w:t xml:space="preserve">3.5 Cost Optimization</w:t>
      </w:r>
    </w:p>
    <w:p>
      <w:pPr>
        <w:spacing w:after="120"/>
      </w:pPr>
      <w:r>
        <w:rPr>
          <w:rFonts w:ascii="Arial" w:cs="Arial" w:eastAsia="Arial" w:hAnsi="Arial"/>
          <w:b/>
          <w:bCs/>
          <w:sz w:val="20"/>
          <w:szCs w:val="20"/>
        </w:rPr>
        <w:t xml:space="preserve">Rating: Good</w:t>
      </w:r>
    </w:p>
    <w:p>
      <w:pPr>
        <w:spacing w:after="120"/>
      </w:pPr>
      <w:r>
        <w:rPr>
          <w:rFonts w:ascii="Arial" w:cs="Arial" w:eastAsia="Arial" w:hAnsi="Arial"/>
          <w:sz w:val="20"/>
          <w:szCs w:val="20"/>
        </w:rPr>
        <w:t xml:space="preserve">The serverless-native design (Lambda + DynamoDB + EventBridge + SQS) inherently provides good cost efficiency through pay-per-use pricing. DLQs prevent runaway retry loops that could cause cost spikes. The primary cost concern is the MongoDB Atlas in the Account Cell, which operates on a separate pricing model from AWS-native services and may incur data transfer costs. Additionally, multi-region deployment (once implemented) will approximately double infrastructure costs and should be factored into TCO projections.</w:t>
      </w:r>
    </w:p>
    <w:p>
      <w:pPr>
        <w:pStyle w:val="Heading2"/>
        <w:spacing w:before="240" w:after="120"/>
      </w:pPr>
      <w:r>
        <w:rPr>
          <w:rFonts w:ascii="Arial" w:cs="Arial" w:eastAsia="Arial" w:hAnsi="Arial"/>
          <w:b/>
          <w:bCs/>
          <w:sz w:val="26"/>
          <w:szCs w:val="26"/>
        </w:rPr>
        <w:t xml:space="preserve">3.6 Sustainability</w:t>
      </w:r>
    </w:p>
    <w:p>
      <w:pPr>
        <w:spacing w:after="120"/>
      </w:pPr>
      <w:r>
        <w:rPr>
          <w:rFonts w:ascii="Arial" w:cs="Arial" w:eastAsia="Arial" w:hAnsi="Arial"/>
          <w:b/>
          <w:bCs/>
          <w:sz w:val="20"/>
          <w:szCs w:val="20"/>
        </w:rPr>
        <w:t xml:space="preserve">Rating: Good</w:t>
      </w:r>
    </w:p>
    <w:p>
      <w:pPr>
        <w:spacing w:after="120"/>
      </w:pPr>
      <w:r>
        <w:rPr>
          <w:rFonts w:ascii="Arial" w:cs="Arial" w:eastAsia="Arial" w:hAnsi="Arial"/>
          <w:sz w:val="20"/>
          <w:szCs w:val="20"/>
        </w:rPr>
        <w:t xml:space="preserve">The fully serverless architecture minimizes idle compute resources, aligning well with the sustainability pillar. Lambda scales to zero when not in use, DynamoDB on-demand mode provisions only consumed capacity, and EventBridge processes events without persistent infrastructure. The event-driven design avoids polling patterns that waste CPU cycles. The primary improvement opportunity is ensuring Lambda functions are right-sized (memory/timeout) to avoid over-provisioning.</w:t>
      </w:r>
    </w:p>
    <w:p>
      <w:r>
        <w:br w:type="page"/>
      </w:r>
    </w:p>
    <w:p>
      <w:pPr>
        <w:pStyle w:val="Heading1"/>
        <w:spacing w:before="240" w:after="120"/>
      </w:pPr>
      <w:r>
        <w:rPr>
          <w:rFonts w:ascii="Arial" w:cs="Arial" w:eastAsia="Arial" w:hAnsi="Arial"/>
          <w:b/>
          <w:bCs/>
          <w:sz w:val="32"/>
          <w:szCs w:val="32"/>
        </w:rPr>
        <w:t xml:space="preserve">4. Cell-Based Architecture Fault Isolation Deep Dive</w:t>
      </w:r>
    </w:p>
    <w:p>
      <w:pPr>
        <w:pStyle w:val="Heading2"/>
        <w:spacing w:before="240" w:after="120"/>
      </w:pPr>
      <w:r>
        <w:rPr>
          <w:rFonts w:ascii="Arial" w:cs="Arial" w:eastAsia="Arial" w:hAnsi="Arial"/>
          <w:b/>
          <w:bCs/>
          <w:sz w:val="26"/>
          <w:szCs w:val="26"/>
        </w:rPr>
        <w:t xml:space="preserve">4.1 What True Cell-Based Architecture Requires</w:t>
      </w:r>
    </w:p>
    <w:p>
      <w:pPr>
        <w:spacing w:after="120"/>
      </w:pPr>
      <w:r>
        <w:rPr>
          <w:rFonts w:ascii="Arial" w:cs="Arial" w:eastAsia="Arial" w:hAnsi="Arial"/>
          <w:sz w:val="20"/>
          <w:szCs w:val="20"/>
        </w:rPr>
        <w:t xml:space="preserve">AWS defines cell-based architecture as a pattern that reduces blast radius by partitioning a workload into multiple, independent, isolated units called cells. Each cell is a fully functional, self-contained stack. The key principles are:</w:t>
      </w:r>
    </w:p>
    <w:p>
      <w:pPr>
        <w:pStyle w:val="ListParagraph"/>
        <w:numPr>
          <w:ilvl w:val="0"/>
          <w:numId w:val="2"/>
        </w:numPr>
        <w:spacing w:after="60"/>
      </w:pPr>
      <w:r>
        <w:rPr>
          <w:rFonts w:ascii="Arial" w:cs="Arial" w:eastAsia="Arial" w:hAnsi="Arial"/>
          <w:b/>
          <w:bCs/>
          <w:sz w:val="20"/>
          <w:szCs w:val="20"/>
        </w:rPr>
        <w:t xml:space="preserve">Cell Independence: </w:t>
      </w:r>
      <w:r>
        <w:rPr>
          <w:rFonts w:ascii="Arial" w:cs="Arial" w:eastAsia="Arial" w:hAnsi="Arial"/>
          <w:sz w:val="20"/>
          <w:szCs w:val="20"/>
        </w:rPr>
        <w:t xml:space="preserve">Each cell must contain ALL resources needed to function autonomously: compute, storage, messaging, and monitoring. No shared dependencies.</w:t>
      </w:r>
    </w:p>
    <w:p>
      <w:pPr>
        <w:pStyle w:val="ListParagraph"/>
        <w:numPr>
          <w:ilvl w:val="0"/>
          <w:numId w:val="2"/>
        </w:numPr>
        <w:spacing w:after="60"/>
      </w:pPr>
      <w:r>
        <w:rPr>
          <w:rFonts w:ascii="Arial" w:cs="Arial" w:eastAsia="Arial" w:hAnsi="Arial"/>
          <w:b/>
          <w:bCs/>
          <w:sz w:val="20"/>
          <w:szCs w:val="20"/>
        </w:rPr>
        <w:t xml:space="preserve">Cell Router: </w:t>
      </w:r>
      <w:r>
        <w:rPr>
          <w:rFonts w:ascii="Arial" w:cs="Arial" w:eastAsia="Arial" w:hAnsi="Arial"/>
          <w:sz w:val="20"/>
          <w:szCs w:val="20"/>
        </w:rPr>
        <w:t xml:space="preserve">A thin routing layer distributes requests across cells based on a partition key (geography, customer segment, hash). The router itself must be the simplest possible component with the highest availability.</w:t>
      </w:r>
    </w:p>
    <w:p>
      <w:pPr>
        <w:pStyle w:val="ListParagraph"/>
        <w:numPr>
          <w:ilvl w:val="0"/>
          <w:numId w:val="2"/>
        </w:numPr>
        <w:spacing w:after="60"/>
      </w:pPr>
      <w:r>
        <w:rPr>
          <w:rFonts w:ascii="Arial" w:cs="Arial" w:eastAsia="Arial" w:hAnsi="Arial"/>
          <w:b/>
          <w:bCs/>
          <w:sz w:val="20"/>
          <w:szCs w:val="20"/>
        </w:rPr>
        <w:t xml:space="preserve">Blast Radius Reduction: </w:t>
      </w:r>
      <w:r>
        <w:rPr>
          <w:rFonts w:ascii="Arial" w:cs="Arial" w:eastAsia="Arial" w:hAnsi="Arial"/>
          <w:sz w:val="20"/>
          <w:szCs w:val="20"/>
        </w:rPr>
        <w:t xml:space="preserve">A failure in one cell must NOT impact any other cell. The blast radius is capped at 1/N of total traffic, where N is the number of cells.</w:t>
      </w:r>
    </w:p>
    <w:p>
      <w:pPr>
        <w:pStyle w:val="ListParagraph"/>
        <w:numPr>
          <w:ilvl w:val="0"/>
          <w:numId w:val="2"/>
        </w:numPr>
        <w:spacing w:after="60"/>
      </w:pPr>
      <w:r>
        <w:rPr>
          <w:rFonts w:ascii="Arial" w:cs="Arial" w:eastAsia="Arial" w:hAnsi="Arial"/>
          <w:b/>
          <w:bCs/>
          <w:sz w:val="20"/>
          <w:szCs w:val="20"/>
        </w:rPr>
        <w:t xml:space="preserve">No Cross-Cell Synchronous Calls: </w:t>
      </w:r>
      <w:r>
        <w:rPr>
          <w:rFonts w:ascii="Arial" w:cs="Arial" w:eastAsia="Arial" w:hAnsi="Arial"/>
          <w:sz w:val="20"/>
          <w:szCs w:val="20"/>
        </w:rPr>
        <w:t xml:space="preserve">Cells communicate exclusively through asynchronous, event-driven mechanisms. No cell waits on another cell's response.</w:t>
      </w:r>
    </w:p>
    <w:p>
      <w:pPr>
        <w:pStyle w:val="ListParagraph"/>
        <w:numPr>
          <w:ilvl w:val="0"/>
          <w:numId w:val="2"/>
        </w:numPr>
        <w:spacing w:after="60"/>
      </w:pPr>
      <w:r>
        <w:rPr>
          <w:rFonts w:ascii="Arial" w:cs="Arial" w:eastAsia="Arial" w:hAnsi="Arial"/>
          <w:b/>
          <w:bCs/>
          <w:sz w:val="20"/>
          <w:szCs w:val="20"/>
        </w:rPr>
        <w:t xml:space="preserve">Independent Scaling: </w:t>
      </w:r>
      <w:r>
        <w:rPr>
          <w:rFonts w:ascii="Arial" w:cs="Arial" w:eastAsia="Arial" w:hAnsi="Arial"/>
          <w:sz w:val="20"/>
          <w:szCs w:val="20"/>
        </w:rPr>
        <w:t xml:space="preserve">Each cell scales independently based on its own traffic patterns.</w:t>
      </w:r>
    </w:p>
    <w:p>
      <w:pPr>
        <w:pStyle w:val="ListParagraph"/>
        <w:numPr>
          <w:ilvl w:val="0"/>
          <w:numId w:val="2"/>
        </w:numPr>
        <w:spacing w:after="60"/>
      </w:pPr>
      <w:r>
        <w:rPr>
          <w:rFonts w:ascii="Arial" w:cs="Arial" w:eastAsia="Arial" w:hAnsi="Arial"/>
          <w:b/>
          <w:bCs/>
          <w:sz w:val="20"/>
          <w:szCs w:val="20"/>
        </w:rPr>
        <w:t xml:space="preserve">Independent Deployment: </w:t>
      </w:r>
      <w:r>
        <w:rPr>
          <w:rFonts w:ascii="Arial" w:cs="Arial" w:eastAsia="Arial" w:hAnsi="Arial"/>
          <w:sz w:val="20"/>
          <w:szCs w:val="20"/>
        </w:rPr>
        <w:t xml:space="preserve">Each cell can be deployed, rolled back, and tested without coordinating with other cells.</w:t>
      </w:r>
    </w:p>
    <w:p>
      <w:pPr>
        <w:pStyle w:val="Heading2"/>
        <w:spacing w:before="240" w:after="120"/>
      </w:pPr>
      <w:r>
        <w:rPr>
          <w:rFonts w:ascii="Arial" w:cs="Arial" w:eastAsia="Arial" w:hAnsi="Arial"/>
          <w:b/>
          <w:bCs/>
          <w:sz w:val="26"/>
          <w:szCs w:val="26"/>
        </w:rPr>
        <w:t xml:space="preserve">4.2 Current Architecture Assessment</w:t>
      </w:r>
    </w:p>
    <w:p>
      <w:pPr>
        <w:spacing w:after="120"/>
      </w:pPr>
      <w:r>
        <w:rPr>
          <w:rFonts w:ascii="Arial" w:cs="Arial" w:eastAsia="Arial" w:hAnsi="Arial"/>
          <w:sz w:val="20"/>
          <w:szCs w:val="20"/>
        </w:rPr>
        <w:t xml:space="preserve">The current architecture is more accurately described as a domain-partitioned microservices architecture with cell-like characteristics, not a true cell-based architecture. Here is the assessment against each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 Independence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CC8800"/>
                <w:sz w:val="20"/>
                <w:szCs w:val="20"/>
              </w:rPr>
              <w:t xml:space="preserve">Partial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Each domain cell has its own data store and event bus. However, shared KMS, IAM, CloudWatch, and X-Ray create common dependencies that can cause correlated failures.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 Router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CC0000"/>
                <w:sz w:val="20"/>
                <w:szCs w:val="20"/>
              </w:rPr>
              <w:t xml:space="preserve">Missing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cell router exists. External clients connect directly to individual API Gateways. There is no mechanism to partition traffic across multiple instances of the same cell.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Blast Radius Reduction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CC8800"/>
                <w:sz w:val="20"/>
                <w:szCs w:val="20"/>
              </w:rPr>
              <w:t xml:space="preserve">Partial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Domain isolation limits failure propagation between bounded contexts. But within a domain, a failure impacts 100% of that domain's traffic. No horizontal cell partitioning.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Sync Cross-Cell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28B22"/>
                <w:sz w:val="20"/>
                <w:szCs w:val="20"/>
              </w:rPr>
              <w:t xml:space="preserve">Good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All cross-cell communication is asynchronous via EventBridge. The Saga Coordinator uses events/commands, not synchronous API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Scaling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28B22"/>
                <w:sz w:val="20"/>
                <w:szCs w:val="20"/>
              </w:rPr>
              <w:t xml:space="preserve">Good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Lambda and DynamoDB auto-scale independently per cell. EventBridge scales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999999"/>
                <w:sz w:val="20"/>
                <w:szCs w:val="20"/>
              </w:rPr>
              <w:t xml:space="preserve">Unknown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CI/CD or deployment strategy is defined in the architecture. This is a process gap, not an infrastructure gap.</w:t>
            </w:r>
          </w:p>
        </w:tc>
      </w:tr>
    </w:tbl>
    <w:p>
      <w:pPr>
        <w:pStyle w:val="Heading2"/>
        <w:spacing w:before="240" w:after="120"/>
      </w:pPr>
      <w:r>
        <w:rPr>
          <w:rFonts w:ascii="Arial" w:cs="Arial" w:eastAsia="Arial" w:hAnsi="Arial"/>
          <w:b/>
          <w:bCs/>
          <w:sz w:val="26"/>
          <w:szCs w:val="26"/>
        </w:rPr>
        <w:t xml:space="preserve">4.3 Fault Isolation Failure Scenarios</w:t>
      </w:r>
    </w:p>
    <w:p>
      <w:pPr>
        <w:spacing w:after="120"/>
      </w:pPr>
      <w:r>
        <w:rPr>
          <w:rFonts w:ascii="Arial" w:cs="Arial" w:eastAsia="Arial" w:hAnsi="Arial"/>
          <w:sz w:val="20"/>
          <w:szCs w:val="20"/>
        </w:rPr>
        <w:t xml:space="preserve">The following scenarios illustrate how the current architecture would behave under failure, exposing fault isolation weaknesses:</w:t>
      </w:r>
    </w:p>
    <w:p>
      <w:pPr>
        <w:pStyle w:val="Heading3"/>
        <w:spacing w:before="240" w:after="120"/>
      </w:pPr>
      <w:r>
        <w:rPr>
          <w:rFonts w:ascii="Arial" w:cs="Arial" w:eastAsia="Arial" w:hAnsi="Arial"/>
          <w:b/>
          <w:bCs/>
          <w:sz w:val="22"/>
          <w:szCs w:val="22"/>
        </w:rPr>
        <w:t xml:space="preserve">4.3.1 Scenario 1: Onboarding Event Bus Failure</w:t>
      </w:r>
    </w:p>
    <w:p>
      <w:pPr>
        <w:spacing w:after="120"/>
      </w:pPr>
      <w:r>
        <w:rPr>
          <w:rFonts w:ascii="Arial" w:cs="Arial" w:eastAsia="Arial" w:hAnsi="Arial"/>
          <w:b/>
          <w:bCs/>
          <w:sz w:val="20"/>
          <w:szCs w:val="20"/>
        </w:rPr>
        <w:t xml:space="preserve">Impact: CATASTROPHIC</w:t>
      </w:r>
      <w:r>
        <w:rPr>
          <w:rFonts w:ascii="Arial" w:cs="Arial" w:eastAsia="Arial" w:hAnsi="Arial"/>
          <w:sz w:val="20"/>
          <w:szCs w:val="20"/>
        </w:rPr>
        <w:t xml:space="preserve"> - All cross-domain communication halts. No new clients can be onboarded. KYC cases cannot be initiated. Accounts cannot be opened. Client updates are lost.</w:t>
      </w:r>
    </w:p>
    <w:p>
      <w:pPr>
        <w:spacing w:after="120"/>
      </w:pPr>
      <w:r>
        <w:rPr>
          <w:rFonts w:ascii="Arial" w:cs="Arial" w:eastAsia="Arial" w:hAnsi="Arial"/>
          <w:b/>
          <w:bCs/>
          <w:sz w:val="20"/>
          <w:szCs w:val="20"/>
        </w:rPr>
        <w:t xml:space="preserve">Root Cause: </w:t>
      </w:r>
      <w:r>
        <w:rPr>
          <w:rFonts w:ascii="Arial" w:cs="Arial" w:eastAsia="Arial" w:hAnsi="Arial"/>
          <w:sz w:val="20"/>
          <w:szCs w:val="20"/>
        </w:rPr>
        <w:t xml:space="preserve">The Onboarding Public Event Bus is a hub for all cross-domain event flows. It is the single point of failure for the entire system's integration layer.</w:t>
      </w:r>
    </w:p>
    <w:p>
      <w:pPr>
        <w:spacing w:after="120"/>
      </w:pPr>
      <w:r>
        <w:rPr>
          <w:rFonts w:ascii="Arial" w:cs="Arial" w:eastAsia="Arial" w:hAnsi="Arial"/>
          <w:b/>
          <w:bCs/>
          <w:sz w:val="20"/>
          <w:szCs w:val="20"/>
        </w:rPr>
        <w:t xml:space="preserve">Remediation: </w:t>
      </w:r>
      <w:r>
        <w:rPr>
          <w:rFonts w:ascii="Arial" w:cs="Arial" w:eastAsia="Arial" w:hAnsi="Arial"/>
          <w:sz w:val="20"/>
          <w:szCs w:val="20"/>
        </w:rPr>
        <w:t xml:space="preserve">Replace hub topology with direct cell-to-cell EventBridge rules. Each cell's event bus should route events directly to consuming cells' event buses, eliminating the central hub. Use EventBridge Global Endpoints for cross-region failover.</w:t>
      </w:r>
    </w:p>
    <w:p>
      <w:pPr>
        <w:pStyle w:val="Heading3"/>
        <w:spacing w:before="240" w:after="120"/>
      </w:pPr>
      <w:r>
        <w:rPr>
          <w:rFonts w:ascii="Arial" w:cs="Arial" w:eastAsia="Arial" w:hAnsi="Arial"/>
          <w:b/>
          <w:bCs/>
          <w:sz w:val="22"/>
          <w:szCs w:val="22"/>
        </w:rPr>
        <w:t xml:space="preserve">4.3.2 Scenario 2: KMS Regional Failure</w:t>
      </w:r>
    </w:p>
    <w:p>
      <w:pPr>
        <w:spacing w:after="120"/>
      </w:pPr>
      <w:r>
        <w:rPr>
          <w:rFonts w:ascii="Arial" w:cs="Arial" w:eastAsia="Arial" w:hAnsi="Arial"/>
          <w:b/>
          <w:bCs/>
          <w:sz w:val="20"/>
          <w:szCs w:val="20"/>
        </w:rPr>
        <w:t xml:space="preserve">Impact: CATASTROPHIC</w:t>
      </w:r>
      <w:r>
        <w:rPr>
          <w:rFonts w:ascii="Arial" w:cs="Arial" w:eastAsia="Arial" w:hAnsi="Arial"/>
          <w:sz w:val="20"/>
          <w:szCs w:val="20"/>
        </w:rPr>
        <w:t xml:space="preserve"> - All three DynamoDB tables become unreadable/unwritable simultaneously. Every cell using DynamoDB loses data access at the same time.</w:t>
      </w:r>
    </w:p>
    <w:p>
      <w:pPr>
        <w:spacing w:after="120"/>
      </w:pPr>
      <w:r>
        <w:rPr>
          <w:rFonts w:ascii="Arial" w:cs="Arial" w:eastAsia="Arial" w:hAnsi="Arial"/>
          <w:b/>
          <w:bCs/>
          <w:sz w:val="20"/>
          <w:szCs w:val="20"/>
        </w:rPr>
        <w:t xml:space="preserve">Root Cause: </w:t>
      </w:r>
      <w:r>
        <w:rPr>
          <w:rFonts w:ascii="Arial" w:cs="Arial" w:eastAsia="Arial" w:hAnsi="Arial"/>
          <w:sz w:val="20"/>
          <w:szCs w:val="20"/>
        </w:rPr>
        <w:t xml:space="preserve">All cells share a single KMS service entry point. While KMS is highly available (99.999% SLA), a shared dependency creates correlated failure risk.</w:t>
      </w:r>
    </w:p>
    <w:p>
      <w:pPr>
        <w:spacing w:after="120"/>
      </w:pPr>
      <w:r>
        <w:rPr>
          <w:rFonts w:ascii="Arial" w:cs="Arial" w:eastAsia="Arial" w:hAnsi="Arial"/>
          <w:b/>
          <w:bCs/>
          <w:sz w:val="20"/>
          <w:szCs w:val="20"/>
        </w:rPr>
        <w:t xml:space="preserve">Remediation: </w:t>
      </w:r>
      <w:r>
        <w:rPr>
          <w:rFonts w:ascii="Arial" w:cs="Arial" w:eastAsia="Arial" w:hAnsi="Arial"/>
          <w:sz w:val="20"/>
          <w:szCs w:val="20"/>
        </w:rPr>
        <w:t xml:space="preserve">Create dedicated CMKs per cell. Configure multi-region KMS keys for cross-region failover. Use KMS key aliases to abstract the key ID from application code.</w:t>
      </w:r>
    </w:p>
    <w:p>
      <w:pPr>
        <w:pStyle w:val="Heading3"/>
        <w:spacing w:before="240" w:after="120"/>
      </w:pPr>
      <w:r>
        <w:rPr>
          <w:rFonts w:ascii="Arial" w:cs="Arial" w:eastAsia="Arial" w:hAnsi="Arial"/>
          <w:b/>
          <w:bCs/>
          <w:sz w:val="22"/>
          <w:szCs w:val="22"/>
        </w:rPr>
        <w:t xml:space="preserve">4.3.3 Scenario 3: Third-Party Screening Service Outage</w:t>
      </w:r>
    </w:p>
    <w:p>
      <w:pPr>
        <w:spacing w:after="120"/>
      </w:pPr>
      <w:r>
        <w:rPr>
          <w:rFonts w:ascii="Arial" w:cs="Arial" w:eastAsia="Arial" w:hAnsi="Arial"/>
          <w:b/>
          <w:bCs/>
          <w:sz w:val="20"/>
          <w:szCs w:val="20"/>
        </w:rPr>
        <w:t xml:space="preserve">Impact: MODERATE</w:t>
      </w:r>
      <w:r>
        <w:rPr>
          <w:rFonts w:ascii="Arial" w:cs="Arial" w:eastAsia="Arial" w:hAnsi="Arial"/>
          <w:sz w:val="20"/>
          <w:szCs w:val="20"/>
        </w:rPr>
        <w:t xml:space="preserve"> - KYC cell cannot complete screening. Onboarding saga stalls waiting for KYC events. New onboardings queue up but existing operations continue.</w:t>
      </w:r>
    </w:p>
    <w:p>
      <w:pPr>
        <w:spacing w:after="120"/>
      </w:pPr>
      <w:r>
        <w:rPr>
          <w:rFonts w:ascii="Arial" w:cs="Arial" w:eastAsia="Arial" w:hAnsi="Arial"/>
          <w:b/>
          <w:bCs/>
          <w:sz w:val="20"/>
          <w:szCs w:val="20"/>
        </w:rPr>
        <w:t xml:space="preserve">Root Cause: </w:t>
      </w:r>
      <w:r>
        <w:rPr>
          <w:rFonts w:ascii="Arial" w:cs="Arial" w:eastAsia="Arial" w:hAnsi="Arial"/>
          <w:sz w:val="20"/>
          <w:szCs w:val="20"/>
        </w:rPr>
        <w:t xml:space="preserve">External Screening ACL has no circuit breaker. The KYC Lambda will continue invoking the failed external service, exhausting retries and potentially causing Lambda timeout/throttle cascading.</w:t>
      </w:r>
    </w:p>
    <w:p>
      <w:pPr>
        <w:spacing w:after="120"/>
      </w:pPr>
      <w:r>
        <w:rPr>
          <w:rFonts w:ascii="Arial" w:cs="Arial" w:eastAsia="Arial" w:hAnsi="Arial"/>
          <w:b/>
          <w:bCs/>
          <w:sz w:val="20"/>
          <w:szCs w:val="20"/>
        </w:rPr>
        <w:t xml:space="preserve">Remediation: </w:t>
      </w:r>
      <w:r>
        <w:rPr>
          <w:rFonts w:ascii="Arial" w:cs="Arial" w:eastAsia="Arial" w:hAnsi="Arial"/>
          <w:sz w:val="20"/>
          <w:szCs w:val="20"/>
        </w:rPr>
        <w:t xml:space="preserve">Implement circuit breaker pattern on the External Screening ACL. After N consecutive failures, open the circuit and return a cached/degraded response. Add a retry queue (SQS) with exponential backoff for deferred screening.</w:t>
      </w:r>
    </w:p>
    <w:p>
      <w:pPr>
        <w:pStyle w:val="Heading3"/>
        <w:spacing w:before="240" w:after="120"/>
      </w:pPr>
      <w:r>
        <w:rPr>
          <w:rFonts w:ascii="Arial" w:cs="Arial" w:eastAsia="Arial" w:hAnsi="Arial"/>
          <w:b/>
          <w:bCs/>
          <w:sz w:val="22"/>
          <w:szCs w:val="22"/>
        </w:rPr>
        <w:t xml:space="preserve">4.3.4 Scenario 4: MongoDB Atlas Connectivity Loss</w:t>
      </w:r>
    </w:p>
    <w:p>
      <w:pPr>
        <w:spacing w:after="120"/>
      </w:pPr>
      <w:r>
        <w:rPr>
          <w:rFonts w:ascii="Arial" w:cs="Arial" w:eastAsia="Arial" w:hAnsi="Arial"/>
          <w:b/>
          <w:bCs/>
          <w:sz w:val="20"/>
          <w:szCs w:val="20"/>
        </w:rPr>
        <w:t xml:space="preserve">Impact: MODERATE</w:t>
      </w:r>
      <w:r>
        <w:rPr>
          <w:rFonts w:ascii="Arial" w:cs="Arial" w:eastAsia="Arial" w:hAnsi="Arial"/>
          <w:sz w:val="20"/>
          <w:szCs w:val="20"/>
        </w:rPr>
        <w:t xml:space="preserve"> - Account cell loses data access. No new accounts can be opened or maintained. Onboarding saga stalls at the OpenAccount step.</w:t>
      </w:r>
    </w:p>
    <w:p>
      <w:pPr>
        <w:spacing w:after="120"/>
      </w:pPr>
      <w:r>
        <w:rPr>
          <w:rFonts w:ascii="Arial" w:cs="Arial" w:eastAsia="Arial" w:hAnsi="Arial"/>
          <w:b/>
          <w:bCs/>
          <w:sz w:val="20"/>
          <w:szCs w:val="20"/>
        </w:rPr>
        <w:t xml:space="preserve">Root Cause: </w:t>
      </w:r>
      <w:r>
        <w:rPr>
          <w:rFonts w:ascii="Arial" w:cs="Arial" w:eastAsia="Arial" w:hAnsi="Arial"/>
          <w:sz w:val="20"/>
          <w:szCs w:val="20"/>
        </w:rPr>
        <w:t xml:space="preserve">MongoDB Atlas runs outside the AWS native infrastructure boundary. Network connectivity, Atlas cluster maintenance, or certificate expiry can cause outages that are outside AWS's SLA coverage.</w:t>
      </w:r>
    </w:p>
    <w:p>
      <w:pPr>
        <w:spacing w:after="120"/>
      </w:pPr>
      <w:r>
        <w:rPr>
          <w:rFonts w:ascii="Arial" w:cs="Arial" w:eastAsia="Arial" w:hAnsi="Arial"/>
          <w:b/>
          <w:bCs/>
          <w:sz w:val="20"/>
          <w:szCs w:val="20"/>
        </w:rPr>
        <w:t xml:space="preserve">Remediation: </w:t>
      </w:r>
      <w:r>
        <w:rPr>
          <w:rFonts w:ascii="Arial" w:cs="Arial" w:eastAsia="Arial" w:hAnsi="Arial"/>
          <w:sz w:val="20"/>
          <w:szCs w:val="20"/>
        </w:rPr>
        <w:t xml:space="preserve">Either migrate to DynamoDB for consistency and AWS-native resilience, or ensure MongoDB Atlas multi-region cluster with automated failover is configured. Implement a local cache layer for read operations.</w:t>
      </w:r>
    </w:p>
    <w:p>
      <w:r>
        <w:br w:type="page"/>
      </w:r>
    </w:p>
    <w:p>
      <w:pPr>
        <w:pStyle w:val="Heading1"/>
        <w:spacing w:before="240" w:after="120"/>
      </w:pPr>
      <w:r>
        <w:rPr>
          <w:rFonts w:ascii="Arial" w:cs="Arial" w:eastAsia="Arial" w:hAnsi="Arial"/>
          <w:b/>
          <w:bCs/>
          <w:sz w:val="32"/>
          <w:szCs w:val="32"/>
        </w:rPr>
        <w:t xml:space="preserve">5. Recommended Target Architecture for Optimal Fault Isolation</w:t>
      </w:r>
    </w:p>
    <w:p>
      <w:pPr>
        <w:pStyle w:val="Heading2"/>
        <w:spacing w:before="240" w:after="120"/>
      </w:pPr>
      <w:r>
        <w:rPr>
          <w:rFonts w:ascii="Arial" w:cs="Arial" w:eastAsia="Arial" w:hAnsi="Arial"/>
          <w:b/>
          <w:bCs/>
          <w:sz w:val="26"/>
          <w:szCs w:val="26"/>
        </w:rPr>
        <w:t xml:space="preserve">5.1 Multi-Region Active-Passive with Cell Router</w:t>
      </w:r>
    </w:p>
    <w:p>
      <w:pPr>
        <w:spacing w:after="120"/>
      </w:pPr>
      <w:r>
        <w:rPr>
          <w:rFonts w:ascii="Arial" w:cs="Arial" w:eastAsia="Arial" w:hAnsi="Arial"/>
          <w:sz w:val="20"/>
          <w:szCs w:val="20"/>
        </w:rPr>
        <w:t xml:space="preserve">The target architecture should implement a multi-region active-passive deployment with a cell router layer that enables both domain isolation (current) and horizontal partitioning (new) for maximum fault isolation.</w:t>
      </w:r>
    </w:p>
    <w:p>
      <w:pPr>
        <w:pStyle w:val="ListParagraph"/>
        <w:numPr>
          <w:ilvl w:val="0"/>
          <w:numId w:val="2"/>
        </w:numPr>
        <w:spacing w:after="60"/>
      </w:pPr>
      <w:r>
        <w:rPr>
          <w:rFonts w:ascii="Arial" w:cs="Arial" w:eastAsia="Arial" w:hAnsi="Arial"/>
          <w:b/>
          <w:bCs/>
          <w:sz w:val="20"/>
          <w:szCs w:val="20"/>
        </w:rPr>
        <w:t xml:space="preserve">Cell Router Layer: </w:t>
      </w:r>
      <w:r>
        <w:rPr>
          <w:rFonts w:ascii="Arial" w:cs="Arial" w:eastAsia="Arial" w:hAnsi="Arial"/>
          <w:sz w:val="20"/>
          <w:szCs w:val="20"/>
        </w:rPr>
        <w:t xml:space="preserve">Deploy Route 53 with latency-based routing and health checks. Add an API Gateway Regional endpoint per region that routes to a thin Lambda cell router. The cell router partitions traffic by client tier (e.g., UHNW clients in Cell A, HNW clients in Cell B) to limit blast radius.</w:t>
      </w:r>
    </w:p>
    <w:p>
      <w:pPr>
        <w:pStyle w:val="ListParagraph"/>
        <w:numPr>
          <w:ilvl w:val="0"/>
          <w:numId w:val="2"/>
        </w:numPr>
        <w:spacing w:after="60"/>
      </w:pPr>
      <w:r>
        <w:rPr>
          <w:rFonts w:ascii="Arial" w:cs="Arial" w:eastAsia="Arial" w:hAnsi="Arial"/>
          <w:b/>
          <w:bCs/>
          <w:sz w:val="20"/>
          <w:szCs w:val="20"/>
        </w:rPr>
        <w:t xml:space="preserve">Per-Cell VPC Isolation: </w:t>
      </w:r>
      <w:r>
        <w:rPr>
          <w:rFonts w:ascii="Arial" w:cs="Arial" w:eastAsia="Arial" w:hAnsi="Arial"/>
          <w:sz w:val="20"/>
          <w:szCs w:val="20"/>
        </w:rPr>
        <w:t xml:space="preserve">Each domain cell gets a dedicated VPC (or at minimum dedicated private subnets) with VPC endpoints for all AWS services. No cell can reach another cell's VPC directly; all communication flows through EventBridge.</w:t>
      </w:r>
    </w:p>
    <w:p>
      <w:pPr>
        <w:pStyle w:val="ListParagraph"/>
        <w:numPr>
          <w:ilvl w:val="0"/>
          <w:numId w:val="2"/>
        </w:numPr>
        <w:spacing w:after="60"/>
      </w:pPr>
      <w:r>
        <w:rPr>
          <w:rFonts w:ascii="Arial" w:cs="Arial" w:eastAsia="Arial" w:hAnsi="Arial"/>
          <w:b/>
          <w:bCs/>
          <w:sz w:val="20"/>
          <w:szCs w:val="20"/>
        </w:rPr>
        <w:t xml:space="preserve">Dedicated KMS Keys Per Cell: </w:t>
      </w:r>
      <w:r>
        <w:rPr>
          <w:rFonts w:ascii="Arial" w:cs="Arial" w:eastAsia="Arial" w:hAnsi="Arial"/>
          <w:sz w:val="20"/>
          <w:szCs w:val="20"/>
        </w:rPr>
        <w:t xml:space="preserve">Each cell has its own CMK with a key policy restricted to that cell's IAM roles. Multi-region keys enable cross-region failover without re-encryption.</w:t>
      </w:r>
    </w:p>
    <w:p>
      <w:pPr>
        <w:pStyle w:val="ListParagraph"/>
        <w:numPr>
          <w:ilvl w:val="0"/>
          <w:numId w:val="2"/>
        </w:numPr>
        <w:spacing w:after="60"/>
      </w:pPr>
      <w:r>
        <w:rPr>
          <w:rFonts w:ascii="Arial" w:cs="Arial" w:eastAsia="Arial" w:hAnsi="Arial"/>
          <w:b/>
          <w:bCs/>
          <w:sz w:val="20"/>
          <w:szCs w:val="20"/>
        </w:rPr>
        <w:t xml:space="preserve">Direct Cell-to-Cell Event Mesh: </w:t>
      </w:r>
      <w:r>
        <w:rPr>
          <w:rFonts w:ascii="Arial" w:cs="Arial" w:eastAsia="Arial" w:hAnsi="Arial"/>
          <w:sz w:val="20"/>
          <w:szCs w:val="20"/>
        </w:rPr>
        <w:t xml:space="preserve">Replace the Onboarding hub with an event mesh where each cell's EventBridge bus has rules that route events directly to consuming cells. This eliminates the single-point-of-failure hub.</w:t>
      </w:r>
    </w:p>
    <w:p>
      <w:pPr>
        <w:pStyle w:val="ListParagraph"/>
        <w:numPr>
          <w:ilvl w:val="0"/>
          <w:numId w:val="2"/>
        </w:numPr>
        <w:spacing w:after="60"/>
      </w:pPr>
      <w:r>
        <w:rPr>
          <w:rFonts w:ascii="Arial" w:cs="Arial" w:eastAsia="Arial" w:hAnsi="Arial"/>
          <w:b/>
          <w:bCs/>
          <w:sz w:val="20"/>
          <w:szCs w:val="20"/>
        </w:rPr>
        <w:t xml:space="preserve">Per-Cell Observability: </w:t>
      </w:r>
      <w:r>
        <w:rPr>
          <w:rFonts w:ascii="Arial" w:cs="Arial" w:eastAsia="Arial" w:hAnsi="Arial"/>
          <w:sz w:val="20"/>
          <w:szCs w:val="20"/>
        </w:rPr>
        <w:t xml:space="preserve">Each cell gets a dedicated CloudWatch dashboard, its own set of alarms, and its own X-Ray group. A composite dashboard aggregates cell health for platform-level monitoring.</w:t>
      </w:r>
    </w:p>
    <w:p>
      <w:pPr>
        <w:pStyle w:val="ListParagraph"/>
        <w:numPr>
          <w:ilvl w:val="0"/>
          <w:numId w:val="2"/>
        </w:numPr>
        <w:spacing w:after="60"/>
      </w:pPr>
      <w:r>
        <w:rPr>
          <w:rFonts w:ascii="Arial" w:cs="Arial" w:eastAsia="Arial" w:hAnsi="Arial"/>
          <w:b/>
          <w:bCs/>
          <w:sz w:val="20"/>
          <w:szCs w:val="20"/>
        </w:rPr>
        <w:t xml:space="preserve">Circuit Breakers on All Boundaries: </w:t>
      </w:r>
      <w:r>
        <w:rPr>
          <w:rFonts w:ascii="Arial" w:cs="Arial" w:eastAsia="Arial" w:hAnsi="Arial"/>
          <w:sz w:val="20"/>
          <w:szCs w:val="20"/>
        </w:rPr>
        <w:t xml:space="preserve">Every cross-cell event flow and external integration should have a circuit breaker pattern implemented either in Step Functions (native retry/catch) or via a Lambda middleware layer.</w:t>
      </w:r>
    </w:p>
    <w:p>
      <w:pPr>
        <w:pStyle w:val="Heading2"/>
        <w:spacing w:before="240" w:after="120"/>
      </w:pPr>
      <w:r>
        <w:rPr>
          <w:rFonts w:ascii="Arial" w:cs="Arial" w:eastAsia="Arial" w:hAnsi="Arial"/>
          <w:b/>
          <w:bCs/>
          <w:sz w:val="26"/>
          <w:szCs w:val="26"/>
        </w:rPr>
        <w:t xml:space="preserve">5.2 Enhanced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Entry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API Gateway per cell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53 + Cell Router Lambda + API Gateways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Cross-Cell Events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 via Onboarding Event Bus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mesh: cell-to-cell EventBridge rules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CMK per cell + multi-region keys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VPC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Per-cell VPC with VPC endpoints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Edge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 + Shield Advanced on API Gateways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defined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Manager with automatic rotation per cell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Functions or Lambda-layer circuit breakers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Multi-Region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(single region)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Active-passive with Global Tables + Global Endpoints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CloudWatch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Per-cell dashboards + composite alarms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defined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 Security Hub + CloudTrail + GuardDuty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Cell 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DynamoDB or configure Atlas multi-region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defined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CodePipeline per cell with canary deploys</w:t>
            </w:r>
          </w:p>
        </w:tc>
      </w:tr>
    </w:tbl>
    <w:p>
      <w:r>
        <w:br w:type="page"/>
      </w:r>
    </w:p>
    <w:p>
      <w:pPr>
        <w:pStyle w:val="Heading1"/>
        <w:spacing w:before="240" w:after="120"/>
      </w:pPr>
      <w:r>
        <w:rPr>
          <w:rFonts w:ascii="Arial" w:cs="Arial" w:eastAsia="Arial" w:hAnsi="Arial"/>
          <w:b/>
          <w:bCs/>
          <w:sz w:val="32"/>
          <w:szCs w:val="32"/>
        </w:rPr>
        <w:t xml:space="preserve">6. Prioritized Remediation Roadmap</w:t>
      </w:r>
    </w:p>
    <w:p>
      <w:pPr>
        <w:spacing w:after="120"/>
      </w:pPr>
      <w:r>
        <w:rPr>
          <w:rFonts w:ascii="Arial" w:cs="Arial" w:eastAsia="Arial" w:hAnsi="Arial"/>
          <w:sz w:val="20"/>
          <w:szCs w:val="20"/>
        </w:rPr>
        <w:t xml:space="preserve">The following remediation items are prioritized by risk severity and regulatory impact for a private banking institution.</w:t>
      </w:r>
    </w:p>
    <w:p>
      <w:pPr>
        <w:pStyle w:val="Heading2"/>
        <w:spacing w:before="240" w:after="120"/>
      </w:pPr>
      <w:r>
        <w:rPr>
          <w:rFonts w:ascii="Arial" w:cs="Arial" w:eastAsia="Arial" w:hAnsi="Arial"/>
          <w:b/>
          <w:bCs/>
          <w:sz w:val="26"/>
          <w:szCs w:val="26"/>
        </w:rPr>
        <w:t xml:space="preserve">6.1 Phase 1: Critical (0-30 days)</w:t>
      </w:r>
    </w:p>
    <w:p>
      <w:pPr>
        <w:spacing w:after="120"/>
      </w:pPr>
      <w:r>
        <w:rPr>
          <w:rFonts w:ascii="Arial" w:cs="Arial" w:eastAsia="Arial" w:hAnsi="Arial"/>
          <w:b/>
          <w:bCs/>
          <w:sz w:val="20"/>
          <w:szCs w:val="20"/>
        </w:rPr>
        <w:t xml:space="preserve">Focus: Eliminate single points of failure and critical security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800"/>
        <w:gridCol w:w="17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WAF on all API Gateways with managed rule 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Onboarding Event Bus hub with direct cell-to-cell mesh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dedicated KMS CMKs per cell with restrictive key policies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Lambda functions into VPC private subnets with VPC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Secrets Manager for all credentials (MongoDB, screening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CloudWatch Alarms on all DLQs with SNS notification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Excellence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pStyle w:val="Heading2"/>
        <w:spacing w:before="240" w:after="120"/>
      </w:pPr>
      <w:r>
        <w:rPr>
          <w:rFonts w:ascii="Arial" w:cs="Arial" w:eastAsia="Arial" w:hAnsi="Arial"/>
          <w:b/>
          <w:bCs/>
          <w:sz w:val="26"/>
          <w:szCs w:val="26"/>
        </w:rPr>
        <w:t xml:space="preserve">6.2 Phase 2: High Priority (30-90 days)</w:t>
      </w:r>
    </w:p>
    <w:p>
      <w:pPr>
        <w:spacing w:after="120"/>
      </w:pPr>
      <w:r>
        <w:rPr>
          <w:rFonts w:ascii="Arial" w:cs="Arial" w:eastAsia="Arial" w:hAnsi="Arial"/>
          <w:b/>
          <w:bCs/>
          <w:sz w:val="20"/>
          <w:szCs w:val="20"/>
        </w:rPr>
        <w:t xml:space="preserve">Focus: Multi-region resilience and operational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800"/>
        <w:gridCol w:w="17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DynamoDB Global Tables across primary and secondary regions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EventBridge Global Endpoints for cross-region failover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Route 53 health-check failover routing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per-cell CloudWatch dashboards and composite alarms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Excellence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circuit breakers on External Screening ACL and cross-cell 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GuardDuty, Security Hub, Config, and CloudTrail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pStyle w:val="Heading2"/>
        <w:spacing w:before="240" w:after="120"/>
      </w:pPr>
      <w:r>
        <w:rPr>
          <w:rFonts w:ascii="Arial" w:cs="Arial" w:eastAsia="Arial" w:hAnsi="Arial"/>
          <w:b/>
          <w:bCs/>
          <w:sz w:val="26"/>
          <w:szCs w:val="26"/>
        </w:rPr>
        <w:t xml:space="preserve">6.3 Phase 3: Maturity (90-180 days)</w:t>
      </w:r>
    </w:p>
    <w:p>
      <w:pPr>
        <w:spacing w:after="120"/>
      </w:pPr>
      <w:r>
        <w:rPr>
          <w:rFonts w:ascii="Arial" w:cs="Arial" w:eastAsia="Arial" w:hAnsi="Arial"/>
          <w:b/>
          <w:bCs/>
          <w:sz w:val="20"/>
          <w:szCs w:val="20"/>
        </w:rPr>
        <w:t xml:space="preserve">Focus: True cell-based architecture and operational excellence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800"/>
        <w:gridCol w:w="17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cell router with horizontal partitioning by client segment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independent CI/CD pipelines per cell with canary deployments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Excellence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SSM Automation runbooks for top 10 failure scenarios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Excellence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MongoDB Atlas to DynamoDB migration for Account Cell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API Gateway caching and DAX for read-heavy 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Conduct chaos engineering testing (cell-level failure injection)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spacing w:before="240" w:after="120"/>
      </w:pPr>
      <w:r>
        <w:rPr>
          <w:rFonts w:ascii="Arial" w:cs="Arial" w:eastAsia="Arial" w:hAnsi="Arial"/>
          <w:b/>
          <w:bCs/>
          <w:sz w:val="32"/>
          <w:szCs w:val="32"/>
        </w:rPr>
        <w:t xml:space="preserve">7. Conclusion</w:t>
      </w:r>
    </w:p>
    <w:p>
      <w:pPr>
        <w:spacing w:after="120"/>
      </w:pPr>
      <w:r>
        <w:rPr>
          <w:rFonts w:ascii="Arial" w:cs="Arial" w:eastAsia="Arial" w:hAnsi="Arial"/>
          <w:sz w:val="20"/>
          <w:szCs w:val="20"/>
        </w:rPr>
        <w:t xml:space="preserve">The Private Bank CIM system demonstrates a thoughtful, domain-driven serverless architecture with strong foundations in event-driven communication, bounded context isolation, and the Saga pattern for distributed workflows. The use of Anti-Corruption Layers for external integration is a mature pattern that protects domain integrity.</w:t>
      </w:r>
    </w:p>
    <w:p>
      <w:pPr>
        <w:spacing w:after="120"/>
      </w:pPr>
      <w:r>
        <w:rPr>
          <w:rFonts w:ascii="Arial" w:cs="Arial" w:eastAsia="Arial" w:hAnsi="Arial"/>
          <w:sz w:val="20"/>
          <w:szCs w:val="20"/>
        </w:rPr>
        <w:t xml:space="preserve">However, the architecture has significant gaps that must be addressed before it meets the resilience and regulatory expectations of a private banking production workload. The three most critical findings are:</w:t>
      </w:r>
    </w:p>
    <w:p>
      <w:pPr>
        <w:pStyle w:val="ListParagraph"/>
        <w:numPr>
          <w:ilvl w:val="0"/>
          <w:numId w:val="3"/>
        </w:numPr>
        <w:spacing w:after="60"/>
      </w:pPr>
      <w:r>
        <w:rPr>
          <w:rFonts w:ascii="Arial" w:cs="Arial" w:eastAsia="Arial" w:hAnsi="Arial"/>
          <w:sz w:val="20"/>
          <w:szCs w:val="20"/>
        </w:rPr>
        <w:t xml:space="preserve">The architecture is NOT multi-region despite being described as such. A single-region deployment for a private bank is an existential business risk.</w:t>
      </w:r>
    </w:p>
    <w:p>
      <w:pPr>
        <w:pStyle w:val="ListParagraph"/>
        <w:numPr>
          <w:ilvl w:val="0"/>
          <w:numId w:val="3"/>
        </w:numPr>
        <w:spacing w:after="60"/>
      </w:pPr>
      <w:r>
        <w:rPr>
          <w:rFonts w:ascii="Arial" w:cs="Arial" w:eastAsia="Arial" w:hAnsi="Arial"/>
          <w:sz w:val="20"/>
          <w:szCs w:val="20"/>
        </w:rPr>
        <w:t xml:space="preserve">The Onboarding Event Bus hub topology creates a system-wide single point of failure that violates the core promise of cell-based fault isolation.</w:t>
      </w:r>
    </w:p>
    <w:p>
      <w:pPr>
        <w:pStyle w:val="ListParagraph"/>
        <w:numPr>
          <w:ilvl w:val="0"/>
          <w:numId w:val="3"/>
        </w:numPr>
        <w:spacing w:after="60"/>
      </w:pPr>
      <w:r>
        <w:rPr>
          <w:rFonts w:ascii="Arial" w:cs="Arial" w:eastAsia="Arial" w:hAnsi="Arial"/>
          <w:sz w:val="20"/>
          <w:szCs w:val="20"/>
        </w:rPr>
        <w:t xml:space="preserve">The security posture lacks WAF, VPC isolation, per-cell KMS keys, and compliance tooling (GuardDuty, Security Hub) that banking regulators expect.</w:t>
      </w:r>
    </w:p>
    <w:p>
      <w:pPr>
        <w:spacing w:after="120"/>
      </w:pPr>
      <w:r>
        <w:rPr>
          <w:rFonts w:ascii="Arial" w:cs="Arial" w:eastAsia="Arial" w:hAnsi="Arial"/>
          <w:sz w:val="20"/>
          <w:szCs w:val="20"/>
        </w:rPr>
        <w:t xml:space="preserve">The architecture represents a solid domain-partitioned design that, with the enhancements outlined in this review, can evolve into a true cell-based architecture with robust multi-region fault isolation. The prioritized roadmap provides a clear path from the current state to a production-ready private banking platform within 180 days.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none" w:sz="0"/>
              <w:bottom w:val="none" w:sz="0"/>
              <w:right w:val="none" w:sz="0"/>
            </w:tcBorders>
          </w:tcPr>
          <w:p/>
        </w:tc>
      </w:tr>
    </w:tbl>
    <w:p>
      <w:pPr>
        <w:spacing w:before="200"/>
        <w:jc w:val="center"/>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AWS Well-Architected Review | Private Bank CIM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2026-02-06T01:23:27.075Z</dcterms:created>
  <dcterms:modified xsi:type="dcterms:W3CDTF">2026-02-06T01:23:27.076Z</dcterms:modified>
</cp:coreProperties>
</file>

<file path=docProps/custom.xml><?xml version="1.0" encoding="utf-8"?>
<Properties xmlns="http://schemas.openxmlformats.org/officeDocument/2006/custom-properties" xmlns:vt="http://schemas.openxmlformats.org/officeDocument/2006/docPropsVTypes"/>
</file>