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9F940">
      <w:pPr>
        <w:jc w:val="center"/>
      </w:pPr>
      <w:r>
        <w:rPr>
          <w:rFonts w:ascii="Times New Roman" w:hAnsi="Times New Roman" w:eastAsia="黑体"/>
          <w:b/>
          <w:sz w:val="32"/>
        </w:rPr>
        <w:t>我国青少年近视患病率预测（1995–2050）模型说明</w:t>
      </w:r>
    </w:p>
    <w:p w14:paraId="09EA6D39">
      <w:r>
        <w:rPr>
          <w:rFonts w:ascii="Times New Roman" w:hAnsi="Times New Roman" w:eastAsia="黑体"/>
          <w:b/>
          <w:sz w:val="26"/>
        </w:rPr>
        <w:t>一、使用的方法与建模思路</w:t>
      </w:r>
    </w:p>
    <w:p w14:paraId="1430275C">
      <w:pPr>
        <w:spacing w:line="336" w:lineRule="auto"/>
        <w:ind w:firstLine="480"/>
      </w:pPr>
      <w:r>
        <w:rPr>
          <w:rFonts w:ascii="Times New Roman" w:hAnsi="Times New Roman" w:eastAsia="宋体"/>
        </w:rPr>
        <w:t>本说明由</w:t>
      </w:r>
      <w:r>
        <w:rPr>
          <w:rFonts w:hint="eastAsia" w:eastAsia="宋体"/>
          <w:lang w:val="en-US" w:eastAsia="zh-CN"/>
        </w:rPr>
        <w:t>deepseekv4pro</w:t>
      </w:r>
      <w:r>
        <w:rPr>
          <w:rFonts w:ascii="Times New Roman" w:hAnsi="Times New Roman" w:eastAsia="宋体"/>
        </w:rPr>
        <w:t xml:space="preserve"> 大模型</w:t>
      </w:r>
      <w:bookmarkStart w:id="0" w:name="_GoBack"/>
      <w:bookmarkEnd w:id="0"/>
      <w:r>
        <w:rPr>
          <w:rFonts w:ascii="Times New Roman" w:hAnsi="Times New Roman" w:eastAsia="宋体"/>
        </w:rPr>
        <w:t>生成。数据为 1995–2022 年 31 省份、4 学段、城乡两类、3 种测量方法的近视率面板（1833 条）。因 panel 稀疏，采用池化面板回归：对 y 做 logit 变换使外推落在 (0,1)；特征含年份趋势、省份固定效应、学段城乡方法及“省份×年份”交互项，刻画时空异质斜率；用标准化岭回归抑制噪声。评估用十折时序交叉验证（不打乱、测试年份晚于训练），全量重训后外推 2023–2050 各 panel。</w:t>
      </w:r>
    </w:p>
    <w:p w14:paraId="644CB8D8">
      <w:r>
        <w:rPr>
          <w:rFonts w:ascii="Times New Roman" w:hAnsi="Times New Roman" w:eastAsia="黑体"/>
          <w:b/>
          <w:sz w:val="26"/>
        </w:rPr>
        <w:t>二、对 2050 年预测结果的解读</w:t>
      </w:r>
    </w:p>
    <w:p w14:paraId="55DE6452">
      <w:pPr>
        <w:spacing w:line="336" w:lineRule="auto"/>
        <w:ind w:firstLine="480"/>
      </w:pPr>
      <w:r>
        <w:rPr>
          <w:rFonts w:ascii="Times New Roman" w:hAnsi="Times New Roman" w:eastAsia="宋体"/>
        </w:rPr>
        <w:t>历史：全国平均由 1995 年约 39.2% 升至 2019 年约 53.2%（2020–2022 小样本约 55%–62%），1995–2010 年上升较快，2010 年代后总体平稳、呈 S 型饱和。预测：控制构成变化后，各 panel 内上升趋势仍在延续；若延续下去，2050 年全国平均约 78.7%，多数省份升至 70%–95%，北京、内蒙古、天津 接近或超过 90%，西藏、新疆、河北 相对较低；高学段高于低学段，城乡差异持续。注意：模型外推 logit 线性趋势、未内生平台期，高值省份长期预测或偏乐观。</w:t>
      </w:r>
    </w:p>
    <w:p w14:paraId="6DED7E61">
      <w:r>
        <w:rPr>
          <w:rFonts w:ascii="Times New Roman" w:hAnsi="Times New Roman" w:eastAsia="黑体"/>
          <w:b/>
          <w:sz w:val="26"/>
        </w:rPr>
        <w:t>三、远期预测的不确定性讨论</w:t>
      </w:r>
    </w:p>
    <w:p w14:paraId="115D8F93">
      <w:pPr>
        <w:spacing w:line="336" w:lineRule="auto"/>
        <w:ind w:firstLine="480"/>
      </w:pPr>
      <w:r>
        <w:rPr>
          <w:rFonts w:ascii="Times New Roman" w:hAnsi="Times New Roman" w:eastAsia="宋体"/>
        </w:rPr>
        <w:t>精度：十折平均 R²=0.644、RMSE=0.146、MAE=0.115、MAPE=57.6%（合并口径 31%），优于全局均值、面板均值基线，样本内拟合满意；MAPE 偏大源于早期低患病率小样本折。但 2023–2050 为 28 年外推，不确定性随时间急剧放大：数据稀疏且集中于少数调查波次（西藏仅 9 条记录）；logit 线性趋势无法内生反映未来政策、户外活动、出生队列与方法变动。故 2050 年数值宜视为“趋势延续情景推演”，不宜作精确点估计。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36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557</Words>
  <Characters>733</Characters>
  <Lines>0</Lines>
  <Paragraphs>0</Paragraphs>
  <TotalTime>2</TotalTime>
  <ScaleCrop>false</ScaleCrop>
  <LinksUpToDate>false</LinksUpToDate>
  <CharactersWithSpaces>791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狄玥函</cp:lastModifiedBy>
  <dcterms:modified xsi:type="dcterms:W3CDTF">2026-10-27T04:54:50Z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eyJoZGlkIjoiMzZiNjA0NDE5ODE3Y2E0MzFiNGY0ZmEwMTI3Yzc3M2UiLCJ1c2VySWQiOiIxNzQ0OTIzNzk2In0=</vt:lpwstr>
  </property>
  <property fmtid="{D5CDD505-2E9C-101B-9397-08002B2CF9AE}" pid="3" name="KSOProductBuildVer">
    <vt:lpwstr>2052-12.1.0.29161</vt:lpwstr>
  </property>
  <property fmtid="{D5CDD505-2E9C-101B-9397-08002B2CF9AE}" pid="4" name="ICV">
    <vt:lpwstr>D3ED7310E8414F739487DDEB19048E78_12</vt:lpwstr>
  </property>
</Properties>
</file>