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青少年近视率面板预测说明</w:t>
      </w:r>
    </w:p>
    <w:p>
      <w:pPr>
        <w:jc w:val="center"/>
      </w:pPr>
      <w:r>
        <w:rPr>
          <w:rFonts w:ascii="Times New Roman" w:hAnsi="Times New Roman" w:eastAsia="宋体"/>
          <w:b w:val="0"/>
          <w:color w:val="5A5A5A"/>
          <w:sz w:val="21"/>
        </w:rPr>
        <w:t>模型：豆包（Doubao）大模型    数据：1995–2022 年各省面板    预测期：2023–2050 年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一、方法与建模思路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本预测由豆包（Doubao）大模型完成。数据为 1995–2022 年 31 个省份、4 个年级段、城乡、3 种验光方法的近视患病率面板，剔除零样本无效记录后共 1833 条有效观测、475 个面板，目标变量为 computed_prevalence。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先对患病率做 logit 变换再建模，保证预测值在 0–1 之间且自然饱和。特征兼顾时间与空间：时间上含年份趋势及面板、省份、年级×城乡、全国等分层级的历史均值与线性斜率（仅用当年之前数据）；空间上含由省际距离矩阵提取的二维坐标、反距离加权空间滞后、最近五省均值和日照时数排名；另设省份、年级、城乡、验光方法哑变量及省份×时间趋势。模型为 L2 正则线性回归（Ridge，系数经网格验证），同条件下优于面板线性趋势、GBDT 及 Ridge+GBDT 混合模型。验证采用十折滚动起点交叉验证：2013–2022 年依次作为测试年，训练仅用更早年份，不随机打乱、无未来信息泄露。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二、对 2050 年预测结果的解读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历史上全国（省际等权）平均患病率约由 1995 年的 39% 升至 2014 年的 56%，2019 年约 53%，二十多年上升约 14 个百分点，低年级段上升最快、城乡差异明显。预测将继续上升：2023 年约 59%、2030 年约 64%、2040 年约 71%、2050 年约 78%，但随饱和逐步放缓；2050 年各省约 62%（新疆）至 90%（天津），高中年级段约 93%，空间与人群差异仍将存在。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三、模型精度与远期预测的不确定性</w:t>
      </w:r>
    </w:p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十折交叉验证指标（按折计算后取均值）如下表；整体精度可用，大样本波次年份表现较好，2015、2022 等仅含少量观测的年份误差明显偏大。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十折宏平均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池化（全部测试样本）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MSE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RMSE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0.150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0.130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0.116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0.099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MAPE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41.5%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27.3%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0.70</w:t>
            </w:r>
          </w:p>
        </w:tc>
      </w:tr>
    </w:tbl>
    <w:p>
      <w:pPr>
        <w:spacing w:line="336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但交叉验证只能检验约一年步长，而 2050 年是 28 年的远期外推：模型的线性 logit 趋势隐含患病率持续上升，无法内生反映 2018 年以来综合防控政策、用眼行为变化与人口流动，稀疏面板还依赖层级与邻省借值。因此远期结果应视为趋势性情景而非精确点预测，近五年参考价值较高，2040 年后不确定性显著增大，建议随新调查数据滚动更新。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