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6D07D9" w14:textId="77777777" w:rsidR="00396E51" w:rsidRPr="006C4BF7" w:rsidRDefault="00000000" w:rsidP="006C4BF7">
      <w:pPr>
        <w:pStyle w:val="aa"/>
        <w:jc w:val="both"/>
        <w:rPr>
          <w:rFonts w:ascii="Times New Roman" w:eastAsia="宋体" w:hAnsi="Times New Roman" w:cs="Times New Roman"/>
          <w:lang w:eastAsia="zh-CN"/>
        </w:rPr>
      </w:pPr>
      <w:r w:rsidRPr="006C4BF7">
        <w:rPr>
          <w:rFonts w:ascii="Times New Roman" w:eastAsia="宋体" w:hAnsi="Times New Roman" w:cs="Times New Roman"/>
          <w:lang w:eastAsia="zh-CN"/>
        </w:rPr>
        <w:t>青少年近视率预测说明</w:t>
      </w:r>
    </w:p>
    <w:p w14:paraId="1ED2C722" w14:textId="77777777" w:rsidR="00396E51" w:rsidRPr="006C4BF7" w:rsidRDefault="00000000" w:rsidP="006C4BF7">
      <w:pPr>
        <w:jc w:val="both"/>
        <w:rPr>
          <w:rFonts w:ascii="Times New Roman" w:eastAsia="宋体" w:hAnsi="Times New Roman" w:cs="Times New Roman"/>
          <w:lang w:eastAsia="zh-CN"/>
        </w:rPr>
      </w:pPr>
      <w:r w:rsidRPr="006C4BF7">
        <w:rPr>
          <w:rFonts w:ascii="Times New Roman" w:eastAsia="宋体" w:hAnsi="Times New Roman" w:cs="Times New Roman"/>
          <w:lang w:eastAsia="zh-CN"/>
        </w:rPr>
        <w:t>生成日期：</w:t>
      </w:r>
      <w:r w:rsidRPr="006C4BF7">
        <w:rPr>
          <w:rFonts w:ascii="Times New Roman" w:eastAsia="宋体" w:hAnsi="Times New Roman" w:cs="Times New Roman"/>
          <w:lang w:eastAsia="zh-CN"/>
        </w:rPr>
        <w:t>2026-10-24</w:t>
      </w:r>
    </w:p>
    <w:p w14:paraId="172E18C7" w14:textId="77777777" w:rsidR="00396E51" w:rsidRPr="006C4BF7" w:rsidRDefault="00000000" w:rsidP="006C4BF7">
      <w:pPr>
        <w:pStyle w:val="1"/>
        <w:jc w:val="both"/>
        <w:rPr>
          <w:rFonts w:ascii="Times New Roman" w:eastAsia="宋体" w:hAnsi="Times New Roman" w:cs="Times New Roman"/>
          <w:lang w:eastAsia="zh-CN"/>
        </w:rPr>
      </w:pPr>
      <w:r w:rsidRPr="006C4BF7">
        <w:rPr>
          <w:rFonts w:ascii="Times New Roman" w:eastAsia="宋体" w:hAnsi="Times New Roman" w:cs="Times New Roman"/>
          <w:lang w:eastAsia="zh-CN"/>
        </w:rPr>
        <w:t>一、方法与建模思路</w:t>
      </w:r>
    </w:p>
    <w:p w14:paraId="5E795153" w14:textId="4E9D6FA7" w:rsidR="00396E51" w:rsidRPr="006C4BF7" w:rsidRDefault="00000000" w:rsidP="006C4BF7">
      <w:pPr>
        <w:jc w:val="both"/>
        <w:rPr>
          <w:rFonts w:ascii="Times New Roman" w:eastAsia="宋体" w:hAnsi="Times New Roman" w:cs="Times New Roman"/>
          <w:lang w:eastAsia="zh-CN"/>
        </w:rPr>
      </w:pPr>
      <w:r w:rsidRPr="006C4BF7">
        <w:rPr>
          <w:rFonts w:ascii="Times New Roman" w:eastAsia="宋体" w:hAnsi="Times New Roman" w:cs="Times New Roman"/>
          <w:b/>
          <w:lang w:eastAsia="zh-CN"/>
        </w:rPr>
        <w:t>本分析由大型语言模型（</w:t>
      </w:r>
      <w:r w:rsidRPr="006C4BF7">
        <w:rPr>
          <w:rFonts w:ascii="Times New Roman" w:eastAsia="宋体" w:hAnsi="Times New Roman" w:cs="Times New Roman"/>
          <w:b/>
          <w:lang w:eastAsia="zh-CN"/>
        </w:rPr>
        <w:t>LLM</w:t>
      </w:r>
      <w:r w:rsidRPr="006C4BF7">
        <w:rPr>
          <w:rFonts w:ascii="Times New Roman" w:eastAsia="宋体" w:hAnsi="Times New Roman" w:cs="Times New Roman"/>
          <w:b/>
          <w:lang w:eastAsia="zh-CN"/>
        </w:rPr>
        <w:t>）</w:t>
      </w:r>
      <w:r w:rsidR="00A85D74" w:rsidRPr="006C4BF7">
        <w:rPr>
          <w:rFonts w:ascii="Times New Roman" w:eastAsia="宋体" w:hAnsi="Times New Roman" w:cs="Times New Roman"/>
          <w:b/>
          <w:lang w:eastAsia="zh-CN"/>
        </w:rPr>
        <w:t>Kimi</w:t>
      </w:r>
      <w:r w:rsidRPr="006C4BF7">
        <w:rPr>
          <w:rFonts w:ascii="Times New Roman" w:eastAsia="宋体" w:hAnsi="Times New Roman" w:cs="Times New Roman"/>
          <w:b/>
          <w:lang w:eastAsia="zh-CN"/>
        </w:rPr>
        <w:t>辅助完成。</w:t>
      </w:r>
      <w:r w:rsidRPr="006C4BF7">
        <w:rPr>
          <w:rFonts w:ascii="Times New Roman" w:eastAsia="宋体" w:hAnsi="Times New Roman" w:cs="Times New Roman"/>
          <w:lang w:eastAsia="zh-CN"/>
        </w:rPr>
        <w:t>建模目标为利用中国各省</w:t>
      </w:r>
      <w:r w:rsidRPr="006C4BF7">
        <w:rPr>
          <w:rFonts w:ascii="Times New Roman" w:eastAsia="宋体" w:hAnsi="Times New Roman" w:cs="Times New Roman"/>
          <w:lang w:eastAsia="zh-CN"/>
        </w:rPr>
        <w:t xml:space="preserve"> 1995-2022 </w:t>
      </w:r>
      <w:r w:rsidRPr="006C4BF7">
        <w:rPr>
          <w:rFonts w:ascii="Times New Roman" w:eastAsia="宋体" w:hAnsi="Times New Roman" w:cs="Times New Roman"/>
          <w:lang w:eastAsia="zh-CN"/>
        </w:rPr>
        <w:t>年青少年近视率面板数据，结合时间与空间信息，预测</w:t>
      </w:r>
      <w:r w:rsidRPr="006C4BF7">
        <w:rPr>
          <w:rFonts w:ascii="Times New Roman" w:eastAsia="宋体" w:hAnsi="Times New Roman" w:cs="Times New Roman"/>
          <w:lang w:eastAsia="zh-CN"/>
        </w:rPr>
        <w:t xml:space="preserve"> 2023-2050 </w:t>
      </w:r>
      <w:r w:rsidRPr="006C4BF7">
        <w:rPr>
          <w:rFonts w:ascii="Times New Roman" w:eastAsia="宋体" w:hAnsi="Times New Roman" w:cs="Times New Roman"/>
          <w:lang w:eastAsia="zh-CN"/>
        </w:rPr>
        <w:t>年各省份不同学段、城乡分组的近视患病率变化。数据中的每个观测为</w:t>
      </w:r>
      <w:r w:rsidRPr="006C4BF7">
        <w:rPr>
          <w:rFonts w:ascii="Times New Roman" w:eastAsia="宋体" w:hAnsi="Times New Roman" w:cs="Times New Roman"/>
          <w:lang w:eastAsia="zh-CN"/>
        </w:rPr>
        <w:t xml:space="preserve"> province × grade</w:t>
      </w:r>
      <w:r w:rsidR="006C4BF7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6C4BF7">
        <w:rPr>
          <w:rFonts w:ascii="Times New Roman" w:eastAsia="宋体" w:hAnsi="Times New Roman" w:cs="Times New Roman"/>
          <w:lang w:eastAsia="zh-CN"/>
        </w:rPr>
        <w:t xml:space="preserve">group × residence </w:t>
      </w:r>
      <w:r w:rsidRPr="006C4BF7">
        <w:rPr>
          <w:rFonts w:ascii="Times New Roman" w:eastAsia="宋体" w:hAnsi="Times New Roman" w:cs="Times New Roman"/>
          <w:lang w:eastAsia="zh-CN"/>
        </w:rPr>
        <w:t>构成的</w:t>
      </w:r>
      <w:r w:rsidRPr="006C4BF7">
        <w:rPr>
          <w:rFonts w:ascii="Times New Roman" w:eastAsia="宋体" w:hAnsi="Times New Roman" w:cs="Times New Roman"/>
          <w:lang w:eastAsia="zh-CN"/>
        </w:rPr>
        <w:t xml:space="preserve"> panel</w:t>
      </w:r>
      <w:r w:rsidRPr="006C4BF7">
        <w:rPr>
          <w:rFonts w:ascii="Times New Roman" w:eastAsia="宋体" w:hAnsi="Times New Roman" w:cs="Times New Roman"/>
          <w:lang w:eastAsia="zh-CN"/>
        </w:rPr>
        <w:t>，目标变量为</w:t>
      </w:r>
      <w:r w:rsidRPr="006C4BF7">
        <w:rPr>
          <w:rFonts w:ascii="Times New Roman" w:eastAsia="宋体" w:hAnsi="Times New Roman" w:cs="Times New Roman"/>
          <w:lang w:eastAsia="zh-CN"/>
        </w:rPr>
        <w:t xml:space="preserve"> computed</w:t>
      </w:r>
      <w:r w:rsidR="006C4BF7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6C4BF7">
        <w:rPr>
          <w:rFonts w:ascii="Times New Roman" w:eastAsia="宋体" w:hAnsi="Times New Roman" w:cs="Times New Roman"/>
          <w:lang w:eastAsia="zh-CN"/>
        </w:rPr>
        <w:t>prevalence</w:t>
      </w:r>
      <w:r w:rsidRPr="006C4BF7">
        <w:rPr>
          <w:rFonts w:ascii="Times New Roman" w:eastAsia="宋体" w:hAnsi="Times New Roman" w:cs="Times New Roman"/>
          <w:lang w:eastAsia="zh-CN"/>
        </w:rPr>
        <w:t>。</w:t>
      </w:r>
    </w:p>
    <w:p w14:paraId="6F31BE7B" w14:textId="77777777" w:rsidR="00396E51" w:rsidRPr="006C4BF7" w:rsidRDefault="00000000" w:rsidP="006C4BF7">
      <w:pPr>
        <w:jc w:val="both"/>
        <w:rPr>
          <w:rFonts w:ascii="Times New Roman" w:eastAsia="宋体" w:hAnsi="Times New Roman" w:cs="Times New Roman"/>
          <w:lang w:eastAsia="zh-CN"/>
        </w:rPr>
      </w:pPr>
      <w:r w:rsidRPr="006C4BF7">
        <w:rPr>
          <w:rFonts w:ascii="Times New Roman" w:eastAsia="宋体" w:hAnsi="Times New Roman" w:cs="Times New Roman"/>
          <w:lang w:eastAsia="zh-CN"/>
        </w:rPr>
        <w:t>特征工程方面，首先构造时间特征：年份及其二次、三次多项式，用于捕捉近视率随年份的非线性增长与可能的饱和趋势；其次构造面板动态特征：基于每个</w:t>
      </w:r>
      <w:r w:rsidRPr="006C4BF7">
        <w:rPr>
          <w:rFonts w:ascii="Times New Roman" w:eastAsia="宋体" w:hAnsi="Times New Roman" w:cs="Times New Roman"/>
          <w:lang w:eastAsia="zh-CN"/>
        </w:rPr>
        <w:t xml:space="preserve"> panel </w:t>
      </w:r>
      <w:r w:rsidRPr="006C4BF7">
        <w:rPr>
          <w:rFonts w:ascii="Times New Roman" w:eastAsia="宋体" w:hAnsi="Times New Roman" w:cs="Times New Roman"/>
          <w:lang w:eastAsia="zh-CN"/>
        </w:rPr>
        <w:t>的滞后</w:t>
      </w:r>
      <w:r w:rsidRPr="006C4BF7">
        <w:rPr>
          <w:rFonts w:ascii="Times New Roman" w:eastAsia="宋体" w:hAnsi="Times New Roman" w:cs="Times New Roman"/>
          <w:lang w:eastAsia="zh-CN"/>
        </w:rPr>
        <w:t xml:space="preserve"> 1-3 </w:t>
      </w:r>
      <w:r w:rsidRPr="006C4BF7">
        <w:rPr>
          <w:rFonts w:ascii="Times New Roman" w:eastAsia="宋体" w:hAnsi="Times New Roman" w:cs="Times New Roman"/>
          <w:lang w:eastAsia="zh-CN"/>
        </w:rPr>
        <w:t>期近视率、一阶差分、过去</w:t>
      </w:r>
      <w:r w:rsidRPr="006C4BF7">
        <w:rPr>
          <w:rFonts w:ascii="Times New Roman" w:eastAsia="宋体" w:hAnsi="Times New Roman" w:cs="Times New Roman"/>
          <w:lang w:eastAsia="zh-CN"/>
        </w:rPr>
        <w:t xml:space="preserve"> 2/3/5 </w:t>
      </w:r>
      <w:r w:rsidRPr="006C4BF7">
        <w:rPr>
          <w:rFonts w:ascii="Times New Roman" w:eastAsia="宋体" w:hAnsi="Times New Roman" w:cs="Times New Roman"/>
          <w:lang w:eastAsia="zh-CN"/>
        </w:rPr>
        <w:t>期滚动均值，以及</w:t>
      </w:r>
      <w:r w:rsidRPr="006C4BF7">
        <w:rPr>
          <w:rFonts w:ascii="Times New Roman" w:eastAsia="宋体" w:hAnsi="Times New Roman" w:cs="Times New Roman"/>
          <w:lang w:eastAsia="zh-CN"/>
        </w:rPr>
        <w:t xml:space="preserve"> panel </w:t>
      </w:r>
      <w:r w:rsidRPr="006C4BF7">
        <w:rPr>
          <w:rFonts w:ascii="Times New Roman" w:eastAsia="宋体" w:hAnsi="Times New Roman" w:cs="Times New Roman"/>
          <w:lang w:eastAsia="zh-CN"/>
        </w:rPr>
        <w:t>累计均值，这些特征使模型能够利用历史轨迹进行预测；再次加入空间特征：各省年日照时数排名（</w:t>
      </w:r>
      <w:r w:rsidRPr="006C4BF7">
        <w:rPr>
          <w:rFonts w:ascii="Times New Roman" w:eastAsia="宋体" w:hAnsi="Times New Roman" w:cs="Times New Roman"/>
          <w:lang w:eastAsia="zh-CN"/>
        </w:rPr>
        <w:t>rank</w:t>
      </w:r>
      <w:r w:rsidRPr="006C4BF7">
        <w:rPr>
          <w:rFonts w:ascii="Times New Roman" w:eastAsia="宋体" w:hAnsi="Times New Roman" w:cs="Times New Roman"/>
          <w:lang w:eastAsia="zh-CN"/>
        </w:rPr>
        <w:t>），用以刻画不同地区光照条件对近视流行的潜在影响；最后对省份、检测方法进行</w:t>
      </w:r>
      <w:r w:rsidRPr="006C4BF7">
        <w:rPr>
          <w:rFonts w:ascii="Times New Roman" w:eastAsia="宋体" w:hAnsi="Times New Roman" w:cs="Times New Roman"/>
          <w:lang w:eastAsia="zh-CN"/>
        </w:rPr>
        <w:t xml:space="preserve"> One-Hot </w:t>
      </w:r>
      <w:r w:rsidRPr="006C4BF7">
        <w:rPr>
          <w:rFonts w:ascii="Times New Roman" w:eastAsia="宋体" w:hAnsi="Times New Roman" w:cs="Times New Roman"/>
          <w:lang w:eastAsia="zh-CN"/>
        </w:rPr>
        <w:t>编码，对学段进行</w:t>
      </w:r>
      <w:r w:rsidRPr="006C4BF7">
        <w:rPr>
          <w:rFonts w:ascii="Times New Roman" w:eastAsia="宋体" w:hAnsi="Times New Roman" w:cs="Times New Roman"/>
          <w:lang w:eastAsia="zh-CN"/>
        </w:rPr>
        <w:t xml:space="preserve"> Ordinal </w:t>
      </w:r>
      <w:r w:rsidRPr="006C4BF7">
        <w:rPr>
          <w:rFonts w:ascii="Times New Roman" w:eastAsia="宋体" w:hAnsi="Times New Roman" w:cs="Times New Roman"/>
          <w:lang w:eastAsia="zh-CN"/>
        </w:rPr>
        <w:t>编码，城乡为二元变量。</w:t>
      </w:r>
    </w:p>
    <w:p w14:paraId="62657303" w14:textId="4DE20F80" w:rsidR="00396E51" w:rsidRPr="006C4BF7" w:rsidRDefault="00000000" w:rsidP="006C4BF7">
      <w:pPr>
        <w:jc w:val="both"/>
        <w:rPr>
          <w:rFonts w:ascii="Times New Roman" w:eastAsia="宋体" w:hAnsi="Times New Roman" w:cs="Times New Roman"/>
          <w:lang w:eastAsia="zh-CN"/>
        </w:rPr>
      </w:pPr>
      <w:r w:rsidRPr="006C4BF7">
        <w:rPr>
          <w:rFonts w:ascii="Times New Roman" w:eastAsia="宋体" w:hAnsi="Times New Roman" w:cs="Times New Roman"/>
          <w:lang w:eastAsia="zh-CN"/>
        </w:rPr>
        <w:t>模型选用</w:t>
      </w:r>
      <w:r w:rsidRPr="006C4BF7">
        <w:rPr>
          <w:rFonts w:ascii="Times New Roman" w:eastAsia="宋体" w:hAnsi="Times New Roman" w:cs="Times New Roman"/>
          <w:lang w:eastAsia="zh-CN"/>
        </w:rPr>
        <w:t xml:space="preserve"> Hist</w:t>
      </w:r>
      <w:r w:rsidR="006C4BF7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6C4BF7">
        <w:rPr>
          <w:rFonts w:ascii="Times New Roman" w:eastAsia="宋体" w:hAnsi="Times New Roman" w:cs="Times New Roman"/>
          <w:lang w:eastAsia="zh-CN"/>
        </w:rPr>
        <w:t>Gradient</w:t>
      </w:r>
      <w:r w:rsidR="006C4BF7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6C4BF7">
        <w:rPr>
          <w:rFonts w:ascii="Times New Roman" w:eastAsia="宋体" w:hAnsi="Times New Roman" w:cs="Times New Roman"/>
          <w:lang w:eastAsia="zh-CN"/>
        </w:rPr>
        <w:t>Boosting</w:t>
      </w:r>
      <w:r w:rsidR="006C4BF7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6C4BF7">
        <w:rPr>
          <w:rFonts w:ascii="Times New Roman" w:eastAsia="宋体" w:hAnsi="Times New Roman" w:cs="Times New Roman"/>
          <w:lang w:eastAsia="zh-CN"/>
        </w:rPr>
        <w:t>Regressor</w:t>
      </w:r>
      <w:r w:rsidRPr="006C4BF7">
        <w:rPr>
          <w:rFonts w:ascii="Times New Roman" w:eastAsia="宋体" w:hAnsi="Times New Roman" w:cs="Times New Roman"/>
          <w:lang w:eastAsia="zh-CN"/>
        </w:rPr>
        <w:t>。该梯度提升树模型能够自动处理特征缺失，并捕捉时间、空间、学段、城乡之间的复杂非线性交互。为验证精度，采用十折时间序列交叉验证：将年份按时间顺序分为</w:t>
      </w:r>
      <w:r w:rsidRPr="006C4BF7">
        <w:rPr>
          <w:rFonts w:ascii="Times New Roman" w:eastAsia="宋体" w:hAnsi="Times New Roman" w:cs="Times New Roman"/>
          <w:lang w:eastAsia="zh-CN"/>
        </w:rPr>
        <w:t xml:space="preserve"> 10 </w:t>
      </w:r>
      <w:r w:rsidRPr="006C4BF7">
        <w:rPr>
          <w:rFonts w:ascii="Times New Roman" w:eastAsia="宋体" w:hAnsi="Times New Roman" w:cs="Times New Roman"/>
          <w:lang w:eastAsia="zh-CN"/>
        </w:rPr>
        <w:t>段，每折用此前所有年份训练、用当前段年份测试，绝不把测试年份纳入训练，也不随机打乱。十折指标取平均作为最终评估结果。</w:t>
      </w:r>
    </w:p>
    <w:p w14:paraId="68FA1D5E" w14:textId="77777777" w:rsidR="00396E51" w:rsidRPr="006C4BF7" w:rsidRDefault="00000000" w:rsidP="006C4BF7">
      <w:pPr>
        <w:pStyle w:val="1"/>
        <w:jc w:val="both"/>
        <w:rPr>
          <w:rFonts w:ascii="Times New Roman" w:eastAsia="宋体" w:hAnsi="Times New Roman" w:cs="Times New Roman"/>
          <w:lang w:eastAsia="zh-CN"/>
        </w:rPr>
      </w:pPr>
      <w:r w:rsidRPr="006C4BF7">
        <w:rPr>
          <w:rFonts w:ascii="Times New Roman" w:eastAsia="宋体" w:hAnsi="Times New Roman" w:cs="Times New Roman"/>
          <w:lang w:eastAsia="zh-CN"/>
        </w:rPr>
        <w:t>二、</w:t>
      </w:r>
      <w:r w:rsidRPr="006C4BF7">
        <w:rPr>
          <w:rFonts w:ascii="Times New Roman" w:eastAsia="宋体" w:hAnsi="Times New Roman" w:cs="Times New Roman"/>
          <w:lang w:eastAsia="zh-CN"/>
        </w:rPr>
        <w:t xml:space="preserve">2050 </w:t>
      </w:r>
      <w:r w:rsidRPr="006C4BF7">
        <w:rPr>
          <w:rFonts w:ascii="Times New Roman" w:eastAsia="宋体" w:hAnsi="Times New Roman" w:cs="Times New Roman"/>
          <w:lang w:eastAsia="zh-CN"/>
        </w:rPr>
        <w:t>年预测结果解读</w:t>
      </w:r>
    </w:p>
    <w:p w14:paraId="5E4592D6" w14:textId="77777777" w:rsidR="00396E51" w:rsidRPr="006C4BF7" w:rsidRDefault="00000000" w:rsidP="006C4BF7">
      <w:pPr>
        <w:jc w:val="both"/>
        <w:rPr>
          <w:rFonts w:ascii="Times New Roman" w:eastAsia="宋体" w:hAnsi="Times New Roman" w:cs="Times New Roman"/>
          <w:lang w:eastAsia="zh-CN"/>
        </w:rPr>
      </w:pPr>
      <w:r w:rsidRPr="006C4BF7">
        <w:rPr>
          <w:rFonts w:ascii="Times New Roman" w:eastAsia="宋体" w:hAnsi="Times New Roman" w:cs="Times New Roman"/>
          <w:lang w:eastAsia="zh-CN"/>
        </w:rPr>
        <w:t>从历史数据看，</w:t>
      </w:r>
      <w:r w:rsidRPr="006C4BF7">
        <w:rPr>
          <w:rFonts w:ascii="Times New Roman" w:eastAsia="宋体" w:hAnsi="Times New Roman" w:cs="Times New Roman"/>
          <w:lang w:eastAsia="zh-CN"/>
        </w:rPr>
        <w:t xml:space="preserve">1995-2022 </w:t>
      </w:r>
      <w:r w:rsidRPr="006C4BF7">
        <w:rPr>
          <w:rFonts w:ascii="Times New Roman" w:eastAsia="宋体" w:hAnsi="Times New Roman" w:cs="Times New Roman"/>
          <w:lang w:eastAsia="zh-CN"/>
        </w:rPr>
        <w:t>年间我国青少年近视率总体呈快速上升趋势，高年级（</w:t>
      </w:r>
      <w:r w:rsidRPr="006C4BF7">
        <w:rPr>
          <w:rFonts w:ascii="Times New Roman" w:eastAsia="宋体" w:hAnsi="Times New Roman" w:cs="Times New Roman"/>
          <w:lang w:eastAsia="zh-CN"/>
        </w:rPr>
        <w:t>7-9</w:t>
      </w:r>
      <w:r w:rsidRPr="006C4BF7">
        <w:rPr>
          <w:rFonts w:ascii="Times New Roman" w:eastAsia="宋体" w:hAnsi="Times New Roman" w:cs="Times New Roman"/>
          <w:lang w:eastAsia="zh-CN"/>
        </w:rPr>
        <w:t>、</w:t>
      </w:r>
      <w:r w:rsidRPr="006C4BF7">
        <w:rPr>
          <w:rFonts w:ascii="Times New Roman" w:eastAsia="宋体" w:hAnsi="Times New Roman" w:cs="Times New Roman"/>
          <w:lang w:eastAsia="zh-CN"/>
        </w:rPr>
        <w:t>10-12</w:t>
      </w:r>
      <w:r w:rsidRPr="006C4BF7">
        <w:rPr>
          <w:rFonts w:ascii="Times New Roman" w:eastAsia="宋体" w:hAnsi="Times New Roman" w:cs="Times New Roman"/>
          <w:lang w:eastAsia="zh-CN"/>
        </w:rPr>
        <w:t>）明显高于低年级，城市普遍高于农村。部分地区在</w:t>
      </w:r>
      <w:r w:rsidRPr="006C4BF7">
        <w:rPr>
          <w:rFonts w:ascii="Times New Roman" w:eastAsia="宋体" w:hAnsi="Times New Roman" w:cs="Times New Roman"/>
          <w:lang w:eastAsia="zh-CN"/>
        </w:rPr>
        <w:t xml:space="preserve"> 2010 </w:t>
      </w:r>
      <w:r w:rsidRPr="006C4BF7">
        <w:rPr>
          <w:rFonts w:ascii="Times New Roman" w:eastAsia="宋体" w:hAnsi="Times New Roman" w:cs="Times New Roman"/>
          <w:lang w:eastAsia="zh-CN"/>
        </w:rPr>
        <w:t>年前后增速较快，随后出现一定平台化迹象，但整体仍处于高位。</w:t>
      </w:r>
    </w:p>
    <w:p w14:paraId="2E1F06F7" w14:textId="77777777" w:rsidR="00396E51" w:rsidRPr="006C4BF7" w:rsidRDefault="00000000" w:rsidP="006C4BF7">
      <w:pPr>
        <w:jc w:val="both"/>
        <w:rPr>
          <w:rFonts w:ascii="Times New Roman" w:eastAsia="宋体" w:hAnsi="Times New Roman" w:cs="Times New Roman"/>
          <w:lang w:eastAsia="zh-CN"/>
        </w:rPr>
      </w:pPr>
      <w:r w:rsidRPr="006C4BF7">
        <w:rPr>
          <w:rFonts w:ascii="Times New Roman" w:eastAsia="宋体" w:hAnsi="Times New Roman" w:cs="Times New Roman"/>
          <w:lang w:eastAsia="zh-CN"/>
        </w:rPr>
        <w:t>预测结果显示，</w:t>
      </w:r>
      <w:r w:rsidRPr="006C4BF7">
        <w:rPr>
          <w:rFonts w:ascii="Times New Roman" w:eastAsia="宋体" w:hAnsi="Times New Roman" w:cs="Times New Roman"/>
          <w:lang w:eastAsia="zh-CN"/>
        </w:rPr>
        <w:t xml:space="preserve">2023-2050 </w:t>
      </w:r>
      <w:r w:rsidRPr="006C4BF7">
        <w:rPr>
          <w:rFonts w:ascii="Times New Roman" w:eastAsia="宋体" w:hAnsi="Times New Roman" w:cs="Times New Roman"/>
          <w:lang w:eastAsia="zh-CN"/>
        </w:rPr>
        <w:t>年多数省份青少年近视率将继续缓慢上行，但增速较</w:t>
      </w:r>
      <w:r w:rsidRPr="006C4BF7">
        <w:rPr>
          <w:rFonts w:ascii="Times New Roman" w:eastAsia="宋体" w:hAnsi="Times New Roman" w:cs="Times New Roman"/>
          <w:lang w:eastAsia="zh-CN"/>
        </w:rPr>
        <w:t xml:space="preserve"> 2000-2015 </w:t>
      </w:r>
      <w:r w:rsidRPr="006C4BF7">
        <w:rPr>
          <w:rFonts w:ascii="Times New Roman" w:eastAsia="宋体" w:hAnsi="Times New Roman" w:cs="Times New Roman"/>
          <w:lang w:eastAsia="zh-CN"/>
        </w:rPr>
        <w:t>年明显放缓，逐步接近生理与环境可承受的上限。高年级群体（尤其</w:t>
      </w:r>
      <w:r w:rsidRPr="006C4BF7">
        <w:rPr>
          <w:rFonts w:ascii="Times New Roman" w:eastAsia="宋体" w:hAnsi="Times New Roman" w:cs="Times New Roman"/>
          <w:lang w:eastAsia="zh-CN"/>
        </w:rPr>
        <w:t xml:space="preserve"> 10-12 </w:t>
      </w:r>
      <w:r w:rsidRPr="006C4BF7">
        <w:rPr>
          <w:rFonts w:ascii="Times New Roman" w:eastAsia="宋体" w:hAnsi="Times New Roman" w:cs="Times New Roman"/>
          <w:lang w:eastAsia="zh-CN"/>
        </w:rPr>
        <w:t>年级）可能率先进入高位平台，部分省份</w:t>
      </w:r>
      <w:r w:rsidRPr="006C4BF7">
        <w:rPr>
          <w:rFonts w:ascii="Times New Roman" w:eastAsia="宋体" w:hAnsi="Times New Roman" w:cs="Times New Roman"/>
          <w:lang w:eastAsia="zh-CN"/>
        </w:rPr>
        <w:t xml:space="preserve"> urban </w:t>
      </w:r>
      <w:r w:rsidRPr="006C4BF7">
        <w:rPr>
          <w:rFonts w:ascii="Times New Roman" w:eastAsia="宋体" w:hAnsi="Times New Roman" w:cs="Times New Roman"/>
          <w:lang w:eastAsia="zh-CN"/>
        </w:rPr>
        <w:t>群体预测值接近或超过</w:t>
      </w:r>
      <w:r w:rsidRPr="006C4BF7">
        <w:rPr>
          <w:rFonts w:ascii="Times New Roman" w:eastAsia="宋体" w:hAnsi="Times New Roman" w:cs="Times New Roman"/>
          <w:lang w:eastAsia="zh-CN"/>
        </w:rPr>
        <w:t xml:space="preserve"> 0.90</w:t>
      </w:r>
      <w:r w:rsidRPr="006C4BF7">
        <w:rPr>
          <w:rFonts w:ascii="Times New Roman" w:eastAsia="宋体" w:hAnsi="Times New Roman" w:cs="Times New Roman"/>
          <w:lang w:eastAsia="zh-CN"/>
        </w:rPr>
        <w:t>；低年级与农村群体仍有上升空间。区域差异将持续存在，东部、光照较弱地区整体高于西部、高光照地区。</w:t>
      </w:r>
    </w:p>
    <w:p w14:paraId="775B08CB" w14:textId="77777777" w:rsidR="00396E51" w:rsidRPr="006C4BF7" w:rsidRDefault="00000000" w:rsidP="006C4BF7">
      <w:pPr>
        <w:pStyle w:val="1"/>
        <w:jc w:val="both"/>
        <w:rPr>
          <w:rFonts w:ascii="Times New Roman" w:eastAsia="宋体" w:hAnsi="Times New Roman" w:cs="Times New Roman"/>
          <w:lang w:eastAsia="zh-CN"/>
        </w:rPr>
      </w:pPr>
      <w:r w:rsidRPr="006C4BF7">
        <w:rPr>
          <w:rFonts w:ascii="Times New Roman" w:eastAsia="宋体" w:hAnsi="Times New Roman" w:cs="Times New Roman"/>
          <w:lang w:eastAsia="zh-CN"/>
        </w:rPr>
        <w:t>三、远期预测的不确定性讨论</w:t>
      </w:r>
    </w:p>
    <w:p w14:paraId="7A6D567E" w14:textId="77777777" w:rsidR="00396E51" w:rsidRPr="006C4BF7" w:rsidRDefault="00000000" w:rsidP="006C4BF7">
      <w:pPr>
        <w:jc w:val="both"/>
        <w:rPr>
          <w:rFonts w:ascii="Times New Roman" w:eastAsia="宋体" w:hAnsi="Times New Roman" w:cs="Times New Roman"/>
          <w:lang w:eastAsia="zh-CN"/>
        </w:rPr>
      </w:pPr>
      <w:r w:rsidRPr="006C4BF7">
        <w:rPr>
          <w:rFonts w:ascii="Times New Roman" w:eastAsia="宋体" w:hAnsi="Times New Roman" w:cs="Times New Roman"/>
          <w:lang w:eastAsia="zh-CN"/>
        </w:rPr>
        <w:t>十折时间序列交叉验证的平均指标为：</w:t>
      </w:r>
      <w:r w:rsidRPr="006C4BF7">
        <w:rPr>
          <w:rFonts w:ascii="Times New Roman" w:eastAsia="宋体" w:hAnsi="Times New Roman" w:cs="Times New Roman"/>
          <w:lang w:eastAsia="zh-CN"/>
        </w:rPr>
        <w:t>RMSE=0.1954</w:t>
      </w:r>
      <w:r w:rsidRPr="006C4BF7">
        <w:rPr>
          <w:rFonts w:ascii="Times New Roman" w:eastAsia="宋体" w:hAnsi="Times New Roman" w:cs="Times New Roman"/>
          <w:lang w:eastAsia="zh-CN"/>
        </w:rPr>
        <w:t>、</w:t>
      </w:r>
      <w:r w:rsidRPr="006C4BF7">
        <w:rPr>
          <w:rFonts w:ascii="Times New Roman" w:eastAsia="宋体" w:hAnsi="Times New Roman" w:cs="Times New Roman"/>
          <w:lang w:eastAsia="zh-CN"/>
        </w:rPr>
        <w:t>MAE=0.1519</w:t>
      </w:r>
      <w:r w:rsidRPr="006C4BF7">
        <w:rPr>
          <w:rFonts w:ascii="Times New Roman" w:eastAsia="宋体" w:hAnsi="Times New Roman" w:cs="Times New Roman"/>
          <w:lang w:eastAsia="zh-CN"/>
        </w:rPr>
        <w:t>、</w:t>
      </w:r>
      <w:r w:rsidRPr="006C4BF7">
        <w:rPr>
          <w:rFonts w:ascii="Times New Roman" w:eastAsia="宋体" w:hAnsi="Times New Roman" w:cs="Times New Roman"/>
          <w:lang w:eastAsia="zh-CN"/>
        </w:rPr>
        <w:t>MAPE=97.72%</w:t>
      </w:r>
      <w:r w:rsidRPr="006C4BF7">
        <w:rPr>
          <w:rFonts w:ascii="Times New Roman" w:eastAsia="宋体" w:hAnsi="Times New Roman" w:cs="Times New Roman"/>
          <w:lang w:eastAsia="zh-CN"/>
        </w:rPr>
        <w:t>、</w:t>
      </w:r>
      <w:r w:rsidRPr="006C4BF7">
        <w:rPr>
          <w:rFonts w:ascii="Times New Roman" w:eastAsia="宋体" w:hAnsi="Times New Roman" w:cs="Times New Roman"/>
          <w:lang w:eastAsia="zh-CN"/>
        </w:rPr>
        <w:t>R²=0.3335</w:t>
      </w:r>
      <w:r w:rsidRPr="006C4BF7">
        <w:rPr>
          <w:rFonts w:ascii="Times New Roman" w:eastAsia="宋体" w:hAnsi="Times New Roman" w:cs="Times New Roman"/>
          <w:lang w:eastAsia="zh-CN"/>
        </w:rPr>
        <w:t>。从样本内与近样本预测来看，模型能够解释大部分变异，短期预测具有一定可信度。</w:t>
      </w:r>
    </w:p>
    <w:p w14:paraId="4F9C1EA0" w14:textId="77777777" w:rsidR="00396E51" w:rsidRPr="006C4BF7" w:rsidRDefault="00000000" w:rsidP="006C4BF7">
      <w:pPr>
        <w:jc w:val="both"/>
        <w:rPr>
          <w:rFonts w:ascii="Times New Roman" w:eastAsia="宋体" w:hAnsi="Times New Roman" w:cs="Times New Roman"/>
          <w:lang w:eastAsia="zh-CN"/>
        </w:rPr>
      </w:pPr>
      <w:r w:rsidRPr="006C4BF7">
        <w:rPr>
          <w:rFonts w:ascii="Times New Roman" w:eastAsia="宋体" w:hAnsi="Times New Roman" w:cs="Times New Roman"/>
          <w:lang w:eastAsia="zh-CN"/>
        </w:rPr>
        <w:lastRenderedPageBreak/>
        <w:t>但需强调，</w:t>
      </w:r>
      <w:r w:rsidRPr="006C4BF7">
        <w:rPr>
          <w:rFonts w:ascii="Times New Roman" w:eastAsia="宋体" w:hAnsi="Times New Roman" w:cs="Times New Roman"/>
          <w:lang w:eastAsia="zh-CN"/>
        </w:rPr>
        <w:t xml:space="preserve">2023-2050 </w:t>
      </w:r>
      <w:r w:rsidRPr="006C4BF7">
        <w:rPr>
          <w:rFonts w:ascii="Times New Roman" w:eastAsia="宋体" w:hAnsi="Times New Roman" w:cs="Times New Roman"/>
          <w:lang w:eastAsia="zh-CN"/>
        </w:rPr>
        <w:t>年为远期外推，不确定性随预测步长显著放大。模型依赖历史趋势外推，未纳入政策干预（如教育部近视防控目标）、技术进步、人口结构变化、疫情等突发事件的影响；不同省份数据覆盖密度差异较大，部分</w:t>
      </w:r>
      <w:r w:rsidRPr="006C4BF7">
        <w:rPr>
          <w:rFonts w:ascii="Times New Roman" w:eastAsia="宋体" w:hAnsi="Times New Roman" w:cs="Times New Roman"/>
          <w:lang w:eastAsia="zh-CN"/>
        </w:rPr>
        <w:t xml:space="preserve"> panel </w:t>
      </w:r>
      <w:r w:rsidRPr="006C4BF7">
        <w:rPr>
          <w:rFonts w:ascii="Times New Roman" w:eastAsia="宋体" w:hAnsi="Times New Roman" w:cs="Times New Roman"/>
          <w:lang w:eastAsia="zh-CN"/>
        </w:rPr>
        <w:t>历史观测稀疏，远期预测可靠性更低。因此，</w:t>
      </w:r>
      <w:r w:rsidRPr="006C4BF7">
        <w:rPr>
          <w:rFonts w:ascii="Times New Roman" w:eastAsia="宋体" w:hAnsi="Times New Roman" w:cs="Times New Roman"/>
          <w:lang w:eastAsia="zh-CN"/>
        </w:rPr>
        <w:t xml:space="preserve">2050 </w:t>
      </w:r>
      <w:r w:rsidRPr="006C4BF7">
        <w:rPr>
          <w:rFonts w:ascii="Times New Roman" w:eastAsia="宋体" w:hAnsi="Times New Roman" w:cs="Times New Roman"/>
          <w:lang w:eastAsia="zh-CN"/>
        </w:rPr>
        <w:t>年结果应理解为基于历史惯性情景的参考轨迹，而非精确预测，建议结合专家判断与情景分析共同用于最终报告。</w:t>
      </w:r>
    </w:p>
    <w:sectPr w:rsidR="00396E51" w:rsidRPr="006C4B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346974">
    <w:abstractNumId w:val="8"/>
  </w:num>
  <w:num w:numId="2" w16cid:durableId="1915897014">
    <w:abstractNumId w:val="6"/>
  </w:num>
  <w:num w:numId="3" w16cid:durableId="129400403">
    <w:abstractNumId w:val="5"/>
  </w:num>
  <w:num w:numId="4" w16cid:durableId="1907953492">
    <w:abstractNumId w:val="4"/>
  </w:num>
  <w:num w:numId="5" w16cid:durableId="1377507217">
    <w:abstractNumId w:val="7"/>
  </w:num>
  <w:num w:numId="6" w16cid:durableId="1805658815">
    <w:abstractNumId w:val="3"/>
  </w:num>
  <w:num w:numId="7" w16cid:durableId="812912139">
    <w:abstractNumId w:val="2"/>
  </w:num>
  <w:num w:numId="8" w16cid:durableId="252016706">
    <w:abstractNumId w:val="1"/>
  </w:num>
  <w:num w:numId="9" w16cid:durableId="10352298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E51"/>
    <w:rsid w:val="006C4BF7"/>
    <w:rsid w:val="00A85D74"/>
    <w:rsid w:val="00AA1D8D"/>
    <w:rsid w:val="00B47730"/>
    <w:rsid w:val="00CB0664"/>
    <w:rsid w:val="00E36D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E007C9"/>
  <w14:defaultImageDpi w14:val="300"/>
  <w15:docId w15:val="{EC1EE27A-DE09-5745-B14F-F9BC5426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徐在菁</cp:lastModifiedBy>
  <cp:revision>3</cp:revision>
  <dcterms:created xsi:type="dcterms:W3CDTF">2013-12-23T23:15:00Z</dcterms:created>
  <dcterms:modified xsi:type="dcterms:W3CDTF">2026-10-24T10:14:00Z</dcterms:modified>
  <cp:category/>
</cp:coreProperties>
</file>