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青少年近视患病率预测说明</w:t>
      </w:r>
    </w:p>
    <w:p>
      <w:r>
        <w:rPr>
          <w:color w:val="647482"/>
          <w:sz w:val="20"/>
        </w:rPr>
        <w:t>Codex · 省级面板 · 2023–2050</w:t>
      </w:r>
    </w:p>
    <w:p>
      <w:pPr>
        <w:pStyle w:val="Heading1"/>
      </w:pPr>
      <w:r>
        <w:t>方法与验证</w:t>
      </w:r>
    </w:p>
    <w:p>
      <w:r>
        <w:t>本分析由Codex（基于GPT-6，精确版本未披露）组织，数值由Python计算。采用computed_prevalence，剔除263行无效记录；同panel同年多项研究按病例数与样本量合并，得到1791个panel年份单元。</w:t>
      </w:r>
    </w:p>
    <w:p>
      <w:r>
        <w:t>模型在Logit尺度控制年级、城乡、验光方式及交互项，估计省份截距和趋势；用省际距离构建四近邻图，以空间惩罚共享信息。每年趋势按0.95衰减，逆变换保证比例介于0与1。</w:t>
      </w:r>
    </w:p>
    <w:p>
      <w:r>
        <w:t>十折按年份向前验证，训练年严格早于测试年，参数仅在训练集内部选择。十折均值：MSE 0.0199、RMSE 0.1388、MAE 0.1073、MAPE 50.49%、R² 0.682。误差仍大，仅适合探索趋势，精度尚不令人满意。</w:t>
      </w:r>
    </w:p>
    <w:p>
      <w:pPr>
        <w:pStyle w:val="Heading1"/>
      </w:pPr>
      <w:r>
        <w:t>趋势解读与不确定性</w:t>
      </w:r>
    </w:p>
    <w:p>
      <w:r>
        <w:t>1995与2019年均有观测的224个panel，其等权均值由39.2%升至55.5%。模型按四年级组×城乡等权、验光方式3标准化，31省均值由2022年62.4%升至2050年74.7%，增速趋缓；这不是人口加权全国率。</w:t>
      </w:r>
    </w:p>
    <w:p>
      <w:r>
        <w:t>2022年仅3省有观测，59个panel无有效历史，预测依赖信息共享。17年远期回测RMSE约31.0个百分点；短期精度不能验证2050年精度。政策、教育和户外活动变化未建模。图中带状范围为趋势情景敏感性，非置信区间；稀疏地区及远期结果应谨慎使用。</w:t>
      </w:r>
    </w:p>
    <w:p>
      <w:pPr>
        <w:spacing w:after="120"/>
      </w:pPr>
      <w:r>
        <w:t>图示：灰点及连线为调查样本合并比例，蓝实线为历史模型拟合，蓝虚线为未来预测。两者构成口径不同；没有将缺失年份补为实测值。</w:t>
      </w:r>
    </w:p>
    <w:p>
      <w:pPr>
        <w:spacing w:after="0"/>
      </w:pPr>
      <w:r>
        <w:rPr>
          <w:color w:val="647482"/>
          <w:sz w:val="16"/>
        </w:rPr>
        <w:t>方法参考：scikit-learn 时间序列交叉验证文档；Hyndman &amp; Athanasopoulos, Forecasting: Principles and Practice (3rd ed.), §8.2（趋势衰减思想）。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  <w:jc w:val="left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4D7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4D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14D7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青少年近视患病率预测说明</dc:title>
  <dc:subject>空间正则化面板预测、十折时间交叉验证与2050年情景预测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