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Regulatory, Standards, and Policy Update Register</w:t>
      </w:r>
    </w:p>
    <w:p>
      <w:pPr>
        <w:jc w:val="centre"/>
      </w:pPr>
      <w:r>
        <w:rPr>
          <w:b/>
          <w:color w:val="7A2334"/>
        </w:rPr>
        <w:t>AIHE-RG04</w:t>
      </w:r>
    </w:p>
    <w:p>
      <w:pPr>
        <w:spacing w:after="40"/>
      </w:pPr>
      <w:r>
        <w:rPr>
          <w:b/>
        </w:rPr>
        <w:t xml:space="preserve">Primary chapter: </w:t>
      </w:r>
      <w:r>
        <w:t>10 — Governance, Accountability, and Institutional Risk</w:t>
      </w:r>
    </w:p>
    <w:p>
      <w:pPr>
        <w:spacing w:after="40"/>
      </w:pPr>
      <w:r>
        <w:rPr>
          <w:b/>
        </w:rPr>
        <w:t xml:space="preserve">Additional chapter alignment: </w:t>
      </w:r>
      <w:r>
        <w:t>2, 5, 7, 9, 10, 12-15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Maintain date-stamped records for European, Romanian, and global legal, policy, standards, reimbursement, and guidance sources whose scope or implementation status may change.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blHeader w:val="true"/>
        </w:trPr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Authority and jurisdiction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Version or date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Decision relevance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Implementation phase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Authoritative source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Date checked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Next review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Change since prior review</w:t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EU AI Act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consolidated current text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Risk classification, governance, transparency and lifecycle obligations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Phased application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European Health Data Space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consolidated current text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Primary/secondary use, interoperability and cross-border data infrastructure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Staged implementation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European Commission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EU HTA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scope and methods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Joint clinical assessment and national/local decision pathways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Staged technology coverage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HTA Coordination Group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GDPR and national data law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 and member state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law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guidance and national interpretation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Lawful data use, rights, security and accountability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Current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national authority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Medical-device framework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 and national competent authority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sectoral law where applicable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qualification/classification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Conformity, clinical evidence, post-market and change obligations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Current / transitional where applicable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competent authority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ISO/IEC AI and healthcare-quality standards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Voluntary standards unless adopted contractually or legally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edition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Management systems, risk, quality and audit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Current edition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ISO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Romanian digital-health strategy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Romania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National policy/strategy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adopted version and implementation plan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National health-data, interoperability and capability priorities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formal status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Ministry of Health of Romania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AIHE-RG04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