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t>Reporting and Appraisal Tool Selection Guide</w:t>
      </w:r>
    </w:p>
    <w:p>
      <w:pPr>
        <w:jc w:val="centre"/>
      </w:pPr>
      <w:r>
        <w:rPr>
          <w:b/>
          <w:color w:val="7A2334"/>
        </w:rPr>
        <w:t>AIHE-RG02</w:t>
      </w:r>
    </w:p>
    <w:p>
      <w:pPr>
        <w:spacing w:after="40"/>
      </w:pPr>
      <w:r>
        <w:rPr>
          <w:b/>
        </w:rPr>
        <w:t xml:space="preserve">Primary chapter: </w:t>
      </w:r>
      <w:r>
        <w:t>11 — Evidence, Validation, and Real-World Evaluation</w:t>
      </w:r>
    </w:p>
    <w:p>
      <w:pPr>
        <w:spacing w:after="40"/>
      </w:pPr>
      <w:r>
        <w:rPr>
          <w:b/>
        </w:rPr>
        <w:t xml:space="preserve">Additional chapter alignment: </w:t>
      </w:r>
      <w:r>
        <w:t>7, 8, 11</w:t>
      </w:r>
    </w:p>
    <w:p>
      <w:pPr>
        <w:spacing w:after="40"/>
      </w:pPr>
      <w:r>
        <w:rPr>
          <w:b/>
        </w:rPr>
        <w:t xml:space="preserve">Version: </w:t>
      </w:r>
      <w:r>
        <w:t>V1.0</w:t>
      </w:r>
    </w:p>
    <w:p>
      <w:pPr>
        <w:pStyle w:val="Heading1"/>
      </w:pPr>
      <w:r>
        <w:t>Purpose</w:t>
      </w:r>
    </w:p>
    <w:p>
      <w:r>
        <w:t>Match evidence type and study stage to current reporting and appraisal instruments without treating checklist completion as proof of validity, effectiveness, or regulatory conformity.</w:t>
      </w:r>
    </w:p>
    <w:p>
      <w:pPr>
        <w:pStyle w:val="Heading1"/>
      </w:pPr>
      <w:r>
        <w:t>Instructions</w:t>
      </w:r>
    </w:p>
    <w:p>
      <w:pPr>
        <w:pStyle w:val="ListBullet"/>
      </w:pPr>
      <w:r>
        <w:t>Define the decision question before selecting an instrument or framework.</w:t>
      </w:r>
    </w:p>
    <w:p>
      <w:pPr>
        <w:pStyle w:val="ListBullet"/>
      </w:pPr>
      <w:r>
        <w:t>Verify the exact edition, publication date, jurisdiction, scope, and status of external sources.</w:t>
      </w:r>
    </w:p>
    <w:p>
      <w:pPr>
        <w:pStyle w:val="ListBullet"/>
      </w:pPr>
      <w:r>
        <w:t>Record local evidence, judgement, ownership, gaps, and the resulting decision.</w:t>
      </w:r>
    </w:p>
    <w:p>
      <w:pPr>
        <w:pStyle w:val="ListBullet"/>
      </w:pPr>
      <w:r>
        <w:t>Review and update the record when law, standards, policy, evidence, or institutional context changes.</w:t>
      </w:r>
    </w:p>
    <w:p>
      <w:pPr>
        <w:pStyle w:val="Heading1"/>
      </w:pPr>
      <w:r>
        <w:t>Editable register or checklist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Evidence or study type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Reporting instrument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Appraisal or complementary approach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What it supports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What it does not establish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Version checked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Reviewer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Local evidence gap</w:t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Prediction model development or validation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TRIPOD+AI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PROBAST+AI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Published AI-updated instruments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Transparent reporting and risk-of-bias/applicability assessment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Local usefulness or adoption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Diagnostic accuracy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STARD-AI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Reference-standard and applicability appraisal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Published AI-specific reporting guideline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Transparent diagnostic AI reporting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Regulatory conformity or clinical utility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Early live clinical evaluation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DECIDE-AI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Local safety, workflow, human-factors and economic review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Published reporting guideline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Transparent early-stage live evaluation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Approval for unrestricted deployment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Trial protocol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SPIRIT-AI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Protocol feasibility and intervention review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Published consensus extension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Complete AI trial protocol reporting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Trial quality or successful implementation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Trial results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CONSORT-AI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Risk-of-bias, applicability and economic appraisal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Published consensus extension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Complete AI trial reporting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Cost-effectiveness or local transferability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Economic evaluation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CHEERS 2022 / CHEERS-AI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Method, model validation and uncertainty appraisal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Published reporting guidance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Transparent economic reporting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Methodological appropriateness by itself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Systematic review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PRISMA 2020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Design-specific bias and certainty appraisal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Published reporting guideline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Transparent review reporting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Reliability of included evidence by itself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Qualitative evidence synthesis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Review-specific reporting guidance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GRADE-CERQual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Established confidence-appraisal approach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Transparent confidence judgements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Quantitative effect size or causal proof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AIHE-RG02 guide and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