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Diagnostic and Predictive Evidence Appraisal Checklist</w:t>
      </w:r>
    </w:p>
    <w:p>
      <w:pPr>
        <w:jc w:val="centre"/>
      </w:pPr>
      <w:r>
        <w:rPr>
          <w:b/>
          <w:color w:val="7A2334"/>
        </w:rPr>
        <w:t>AIHE-RG06</w:t>
      </w:r>
    </w:p>
    <w:p>
      <w:pPr>
        <w:spacing w:after="40"/>
      </w:pPr>
      <w:r>
        <w:rPr>
          <w:b/>
        </w:rPr>
        <w:t xml:space="preserve">Primary chapter: </w:t>
      </w:r>
      <w:r>
        <w:t>11 — Evidence, Validation, and Real-World Evaluation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3, 7, 8, 11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Appraise reference standards, index tests, data partitions, calibration, diagnostic accuracy, bias, subgroup performance, clinical utility, and downstream resource consequences.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</w:trPr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Appraisal question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Evidence reviewed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Judgement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Material uncertainty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Required local evidence or safeguard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906"/>
            <w:shd w:fill="7A2334"/>
          </w:tcPr>
          <w:p>
            <w:r>
              <w:rPr>
                <w:b/>
                <w:color w:val="FFFFFF"/>
                <w:sz w:val="15"/>
              </w:rPr>
              <w:t>Decision consequence</w:t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Intended use and pathway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the decision, user, population, timing, action and comparator explicit?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Dataset construction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selection, exclusions, missingness, partitions and leakage addressed?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Model or index test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the exact version, preprocessing, threshold and output defined?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Reference standard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Is it appropriate, independent, consistent and blinded where feasible?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task-appropriate metrics and uncertainty reported?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Calibration and thresholds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calibration and threshold-specific consequences evaluated?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Transportability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Does the evidence represent the intended local context?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Subgroups and equity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performance, access and consequences assessed across relevant groups?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Human-AI performance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acceptance, override, review burden and error correction measured?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Clinical utility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Does the system improve decisions or outcomes versus realistic alternatives?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Economic consequences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downstream resource, cost and budget consequences included?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06"/>
            <w:vAlign w:val="top"/>
            <w:shd w:fill="F2E8EB"/>
          </w:tcPr>
          <w:p>
            <w:r>
              <w:rPr>
                <w:sz w:val="14"/>
              </w:rPr>
              <w:t>Lifecycle evidence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  <w:t>Are monitoring, drift, update and incident plans credible?</w:t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906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AIHE-RG06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