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AIHE-Q — GATED-AI Gate Record</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AIHE-Q</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each gate before committing resources that make the next stage difficult to reverse. Status options are pass, pass with conditions, remediate and repeat, or stop. Mandatory failures cannot be offset by a favorable weighted score.</w:t>
      </w:r>
    </w:p>
    <w:p>
      <w:r>
        <w:t>Table Q.1. GATED-AI gate record.</w:t>
      </w:r>
    </w:p>
    <w:p>
      <w:r>
        <w:t>Table Q.2. Vendor claim and evidence challenge log.</w:t>
      </w:r>
    </w:p>
    <w:p>
      <w:r>
        <w:t>Table Q.3. GATED-AI contract checklist.</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Gate</w:t>
            </w:r>
          </w:p>
        </w:tc>
        <w:tc>
          <w:tcPr>
            <w:tcW w:type="dxa" w:w="1995"/>
            <w:vAlign w:val="centre"/>
            <w:tcMar>
              <w:top w:w="80" w:type="dxa"/>
              <w:start w:w="80" w:type="dxa"/>
              <w:bottom w:w="80" w:type="dxa"/>
              <w:end w:w="80" w:type="dxa"/>
            </w:tcMar>
            <w:shd w:fill="D9EAF7"/>
          </w:tcPr>
          <w:p>
            <w:r>
              <w:rPr>
                <w:b/>
              </w:rPr>
              <w:t>Required evidence submitted</w:t>
            </w:r>
          </w:p>
        </w:tc>
        <w:tc>
          <w:tcPr>
            <w:tcW w:type="dxa" w:w="1995"/>
            <w:vAlign w:val="centre"/>
            <w:tcMar>
              <w:top w:w="80" w:type="dxa"/>
              <w:start w:w="80" w:type="dxa"/>
              <w:bottom w:w="80" w:type="dxa"/>
              <w:end w:w="80" w:type="dxa"/>
            </w:tcMar>
            <w:shd w:fill="D9EAF7"/>
          </w:tcPr>
          <w:p>
            <w:r>
              <w:rPr>
                <w:b/>
              </w:rPr>
              <w:t>Status</w:t>
            </w:r>
          </w:p>
        </w:tc>
        <w:tc>
          <w:tcPr>
            <w:tcW w:type="dxa" w:w="1995"/>
            <w:vAlign w:val="centre"/>
            <w:tcMar>
              <w:top w:w="80" w:type="dxa"/>
              <w:start w:w="80" w:type="dxa"/>
              <w:bottom w:w="80" w:type="dxa"/>
              <w:end w:w="80" w:type="dxa"/>
            </w:tcMar>
            <w:shd w:fill="D9EAF7"/>
          </w:tcPr>
          <w:p>
            <w:r>
              <w:rPr>
                <w:b/>
              </w:rPr>
              <w:t>Conditions / remediation</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Due date</w:t>
            </w:r>
          </w:p>
        </w:tc>
        <w:tc>
          <w:tcPr>
            <w:tcW w:type="dxa" w:w="1995"/>
            <w:vAlign w:val="centre"/>
            <w:tcMar>
              <w:top w:w="80" w:type="dxa"/>
              <w:start w:w="80" w:type="dxa"/>
              <w:bottom w:w="80" w:type="dxa"/>
              <w:end w:w="80" w:type="dxa"/>
            </w:tcMar>
            <w:shd w:fill="D9EAF7"/>
          </w:tcPr>
          <w:p>
            <w:r>
              <w:rPr>
                <w:b/>
              </w:rPr>
              <w:t>Decision signature</w:t>
            </w:r>
          </w:p>
        </w:tc>
      </w:tr>
      <w:tr>
        <w:tc>
          <w:tcPr>
            <w:tcW w:type="dxa" w:w="1995"/>
            <w:vAlign w:val="centre"/>
            <w:tcMar>
              <w:top w:w="80" w:type="dxa"/>
              <w:start w:w="80" w:type="dxa"/>
              <w:bottom w:w="80" w:type="dxa"/>
              <w:end w:w="80" w:type="dxa"/>
            </w:tcMar>
          </w:tcPr>
          <w:p>
            <w:r>
              <w:t>G0 Problem</w:t>
            </w:r>
          </w:p>
        </w:tc>
        <w:tc>
          <w:tcPr>
            <w:tcW w:type="dxa" w:w="1995"/>
            <w:vAlign w:val="centre"/>
            <w:tcMar>
              <w:top w:w="80" w:type="dxa"/>
              <w:start w:w="80" w:type="dxa"/>
              <w:bottom w:w="80" w:type="dxa"/>
              <w:end w:w="80" w:type="dxa"/>
            </w:tcMar>
          </w:tcPr>
          <w:p>
            <w:r>
              <w:t>Illustrative response for G0 Problem: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G1 Evidence</w:t>
            </w:r>
          </w:p>
        </w:tc>
        <w:tc>
          <w:tcPr>
            <w:tcW w:type="dxa" w:w="1995"/>
            <w:vAlign w:val="centre"/>
            <w:tcMar>
              <w:top w:w="80" w:type="dxa"/>
              <w:start w:w="80" w:type="dxa"/>
              <w:bottom w:w="80" w:type="dxa"/>
              <w:end w:w="80" w:type="dxa"/>
            </w:tcMar>
          </w:tcPr>
          <w:p>
            <w:r>
              <w:t>Illustrative response for G1 Evidence: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G2 Data and infrastructure</w:t>
            </w:r>
          </w:p>
        </w:tc>
        <w:tc>
          <w:tcPr>
            <w:tcW w:type="dxa" w:w="1995"/>
            <w:vAlign w:val="centre"/>
            <w:tcMar>
              <w:top w:w="80" w:type="dxa"/>
              <w:start w:w="80" w:type="dxa"/>
              <w:bottom w:w="80" w:type="dxa"/>
              <w:end w:w="80" w:type="dxa"/>
            </w:tcMar>
          </w:tcPr>
          <w:p>
            <w:r>
              <w:t>Illustrative response for G2 Data and infrastructure: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G3 Economics and affordability</w:t>
            </w:r>
          </w:p>
        </w:tc>
        <w:tc>
          <w:tcPr>
            <w:tcW w:type="dxa" w:w="1995"/>
            <w:vAlign w:val="centre"/>
            <w:tcMar>
              <w:top w:w="80" w:type="dxa"/>
              <w:start w:w="80" w:type="dxa"/>
              <w:bottom w:w="80" w:type="dxa"/>
              <w:end w:w="80" w:type="dxa"/>
            </w:tcMar>
          </w:tcPr>
          <w:p>
            <w:r>
              <w:t>Illustrative response for G3 Economics and affordability: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G4 Ethics, equity, privacy, and oversight</w:t>
            </w:r>
          </w:p>
        </w:tc>
        <w:tc>
          <w:tcPr>
            <w:tcW w:type="dxa" w:w="1995"/>
            <w:vAlign w:val="centre"/>
            <w:tcMar>
              <w:top w:w="80" w:type="dxa"/>
              <w:start w:w="80" w:type="dxa"/>
              <w:bottom w:w="80" w:type="dxa"/>
              <w:end w:w="80" w:type="dxa"/>
            </w:tcMar>
          </w:tcPr>
          <w:p>
            <w:r>
              <w:t>Illustrative response for G4 Ethics, equity, privacy, and oversight: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G5 Workflow, workforce, and implementation</w:t>
            </w:r>
          </w:p>
        </w:tc>
        <w:tc>
          <w:tcPr>
            <w:tcW w:type="dxa" w:w="1995"/>
            <w:vAlign w:val="centre"/>
            <w:tcMar>
              <w:top w:w="80" w:type="dxa"/>
              <w:start w:w="80" w:type="dxa"/>
              <w:bottom w:w="80" w:type="dxa"/>
              <w:end w:w="80" w:type="dxa"/>
            </w:tcMar>
          </w:tcPr>
          <w:p>
            <w:r>
              <w:t>Illustrative response for G5 Workflow, workforce, and implementation: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G6 Contract and vendor</w:t>
            </w:r>
          </w:p>
        </w:tc>
        <w:tc>
          <w:tcPr>
            <w:tcW w:type="dxa" w:w="1995"/>
            <w:vAlign w:val="centre"/>
            <w:tcMar>
              <w:top w:w="80" w:type="dxa"/>
              <w:start w:w="80" w:type="dxa"/>
              <w:bottom w:w="80" w:type="dxa"/>
              <w:end w:w="80" w:type="dxa"/>
            </w:tcMar>
          </w:tcPr>
          <w:p>
            <w:r>
              <w:t>Illustrative response for G6 Contract and vendor: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G7 Monitoring, updates, and exit</w:t>
            </w:r>
          </w:p>
        </w:tc>
        <w:tc>
          <w:tcPr>
            <w:tcW w:type="dxa" w:w="1995"/>
            <w:vAlign w:val="centre"/>
            <w:tcMar>
              <w:top w:w="80" w:type="dxa"/>
              <w:start w:w="80" w:type="dxa"/>
              <w:bottom w:w="80" w:type="dxa"/>
              <w:end w:w="80" w:type="dxa"/>
            </w:tcMar>
          </w:tcPr>
          <w:p>
            <w:r>
              <w:t>Illustrative response for G7 Monitoring, updates, and exit: evidence documented, limitations noted, and an accountable owner assigned.</w:t>
            </w:r>
          </w:p>
        </w:tc>
        <w:tc>
          <w:tcPr>
            <w:tcW w:type="dxa" w:w="1995"/>
            <w:vAlign w:val="centre"/>
            <w:tcMar>
              <w:top w:w="80" w:type="dxa"/>
              <w:start w:w="80" w:type="dxa"/>
              <w:bottom w:w="80" w:type="dxa"/>
              <w:end w:w="80" w:type="dxa"/>
            </w:tcMar>
          </w:tcPr>
          <w:p>
            <w:r>
              <w:t>Conditional</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2026-10-01</w:t>
            </w:r>
          </w:p>
        </w:tc>
        <w:tc>
          <w:tcPr>
            <w:tcW w:type="dxa" w:w="1995"/>
            <w:vAlign w:val="centre"/>
            <w:tcMar>
              <w:top w:w="80" w:type="dxa"/>
              <w:start w:w="80" w:type="dxa"/>
              <w:bottom w:w="80" w:type="dxa"/>
              <w:end w:w="80" w:type="dxa"/>
            </w:tcMar>
          </w:tcPr>
          <w:p>
            <w:r>
              <w:t>Proceed to a limited pilot with conditions and predefined stopping rules.</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Vendor claim</w:t>
            </w:r>
          </w:p>
        </w:tc>
        <w:tc>
          <w:tcPr>
            <w:tcW w:type="dxa" w:w="1728"/>
            <w:vAlign w:val="centre"/>
            <w:tcMar>
              <w:top w:w="80" w:type="dxa"/>
              <w:start w:w="80" w:type="dxa"/>
              <w:bottom w:w="80" w:type="dxa"/>
              <w:end w:w="80" w:type="dxa"/>
            </w:tcMar>
            <w:shd w:fill="D9EAF7"/>
          </w:tcPr>
          <w:p>
            <w:r>
              <w:rPr>
                <w:b/>
              </w:rPr>
              <w:t>Evidence provided</w:t>
            </w:r>
          </w:p>
        </w:tc>
        <w:tc>
          <w:tcPr>
            <w:tcW w:type="dxa" w:w="1728"/>
            <w:vAlign w:val="centre"/>
            <w:tcMar>
              <w:top w:w="80" w:type="dxa"/>
              <w:start w:w="80" w:type="dxa"/>
              <w:bottom w:w="80" w:type="dxa"/>
              <w:end w:w="80" w:type="dxa"/>
            </w:tcMar>
            <w:shd w:fill="D9EAF7"/>
          </w:tcPr>
          <w:p>
            <w:r>
              <w:rPr>
                <w:b/>
              </w:rPr>
              <w:t>Independent verification</w:t>
            </w:r>
          </w:p>
        </w:tc>
        <w:tc>
          <w:tcPr>
            <w:tcW w:type="dxa" w:w="1728"/>
            <w:vAlign w:val="centre"/>
            <w:tcMar>
              <w:top w:w="80" w:type="dxa"/>
              <w:start w:w="80" w:type="dxa"/>
              <w:bottom w:w="80" w:type="dxa"/>
              <w:end w:w="80" w:type="dxa"/>
            </w:tcMar>
            <w:shd w:fill="D9EAF7"/>
          </w:tcPr>
          <w:p>
            <w:r>
              <w:rPr>
                <w:b/>
              </w:rPr>
              <w:t>Local applicability</w:t>
            </w:r>
          </w:p>
        </w:tc>
        <w:tc>
          <w:tcPr>
            <w:tcW w:type="dxa" w:w="1728"/>
            <w:vAlign w:val="centre"/>
            <w:tcMar>
              <w:top w:w="80" w:type="dxa"/>
              <w:start w:w="80" w:type="dxa"/>
              <w:bottom w:w="80" w:type="dxa"/>
              <w:end w:w="80" w:type="dxa"/>
            </w:tcMar>
            <w:shd w:fill="D9EAF7"/>
          </w:tcPr>
          <w:p>
            <w:r>
              <w:rPr>
                <w:b/>
              </w:rPr>
              <w:t>Risk if incorrect</w:t>
            </w:r>
          </w:p>
        </w:tc>
        <w:tc>
          <w:tcPr>
            <w:tcW w:type="dxa" w:w="1728"/>
            <w:vAlign w:val="centre"/>
            <w:tcMar>
              <w:top w:w="80" w:type="dxa"/>
              <w:start w:w="80" w:type="dxa"/>
              <w:bottom w:w="80" w:type="dxa"/>
              <w:end w:w="80" w:type="dxa"/>
            </w:tcMar>
            <w:shd w:fill="D9EAF7"/>
          </w:tcPr>
          <w:p>
            <w:r>
              <w:rPr>
                <w:b/>
              </w:rPr>
              <w:t>Contract representation / remedy</w:t>
            </w:r>
          </w:p>
        </w:tc>
      </w:tr>
      <w:tr>
        <w:tc>
          <w:tcPr>
            <w:tcW w:type="dxa" w:w="1728"/>
            <w:vAlign w:val="centre"/>
            <w:tcMar>
              <w:top w:w="80" w:type="dxa"/>
              <w:start w:w="80" w:type="dxa"/>
              <w:bottom w:w="80" w:type="dxa"/>
              <w:end w:w="80" w:type="dxa"/>
            </w:tcMar>
          </w:tcPr>
          <w:p>
            <w:r>
              <w:t>Clinical or operational performance</w:t>
            </w:r>
          </w:p>
        </w:tc>
        <w:tc>
          <w:tcPr>
            <w:tcW w:type="dxa" w:w="1728"/>
            <w:vAlign w:val="centre"/>
            <w:tcMar>
              <w:top w:w="80" w:type="dxa"/>
              <w:start w:w="80" w:type="dxa"/>
              <w:bottom w:w="80" w:type="dxa"/>
              <w:end w:w="80" w:type="dxa"/>
            </w:tcMar>
          </w:tcPr>
          <w:p>
            <w:r>
              <w:t>Illustrative response for Clinical or operational performance: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Time or productivity savings</w:t>
            </w:r>
          </w:p>
        </w:tc>
        <w:tc>
          <w:tcPr>
            <w:tcW w:type="dxa" w:w="1728"/>
            <w:vAlign w:val="centre"/>
            <w:tcMar>
              <w:top w:w="80" w:type="dxa"/>
              <w:start w:w="80" w:type="dxa"/>
              <w:bottom w:w="80" w:type="dxa"/>
              <w:end w:w="80" w:type="dxa"/>
            </w:tcMar>
          </w:tcPr>
          <w:p>
            <w:r>
              <w:t>Illustrative response for Time or productivity savings: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Cost savings / ROI</w:t>
            </w:r>
          </w:p>
        </w:tc>
        <w:tc>
          <w:tcPr>
            <w:tcW w:type="dxa" w:w="1728"/>
            <w:vAlign w:val="centre"/>
            <w:tcMar>
              <w:top w:w="80" w:type="dxa"/>
              <w:start w:w="80" w:type="dxa"/>
              <w:bottom w:w="80" w:type="dxa"/>
              <w:end w:w="80" w:type="dxa"/>
            </w:tcMar>
          </w:tcPr>
          <w:p>
            <w:r>
              <w:t>Illustrative response for Cost savings / ROI: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Subgroup fairness</w:t>
            </w:r>
          </w:p>
        </w:tc>
        <w:tc>
          <w:tcPr>
            <w:tcW w:type="dxa" w:w="1728"/>
            <w:vAlign w:val="centre"/>
            <w:tcMar>
              <w:top w:w="80" w:type="dxa"/>
              <w:start w:w="80" w:type="dxa"/>
              <w:bottom w:w="80" w:type="dxa"/>
              <w:end w:w="80" w:type="dxa"/>
            </w:tcMar>
          </w:tcPr>
          <w:p>
            <w:r>
              <w:t>Illustrative response for Subgroup fairness: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Interoperability</w:t>
            </w:r>
          </w:p>
        </w:tc>
        <w:tc>
          <w:tcPr>
            <w:tcW w:type="dxa" w:w="1728"/>
            <w:vAlign w:val="centre"/>
            <w:tcMar>
              <w:top w:w="80" w:type="dxa"/>
              <w:start w:w="80" w:type="dxa"/>
              <w:bottom w:w="80" w:type="dxa"/>
              <w:end w:w="80" w:type="dxa"/>
            </w:tcMar>
          </w:tcPr>
          <w:p>
            <w:r>
              <w:t>Illustrative response for Interoperability: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Cybersecurity and uptime</w:t>
            </w:r>
          </w:p>
        </w:tc>
        <w:tc>
          <w:tcPr>
            <w:tcW w:type="dxa" w:w="1728"/>
            <w:vAlign w:val="centre"/>
            <w:tcMar>
              <w:top w:w="80" w:type="dxa"/>
              <w:start w:w="80" w:type="dxa"/>
              <w:bottom w:w="80" w:type="dxa"/>
              <w:end w:w="80" w:type="dxa"/>
            </w:tcMar>
          </w:tcPr>
          <w:p>
            <w:r>
              <w:t>Illustrative response for Cybersecurity and uptime: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Explainability / human oversight</w:t>
            </w:r>
          </w:p>
        </w:tc>
        <w:tc>
          <w:tcPr>
            <w:tcW w:type="dxa" w:w="1728"/>
            <w:vAlign w:val="centre"/>
            <w:tcMar>
              <w:top w:w="80" w:type="dxa"/>
              <w:start w:w="80" w:type="dxa"/>
              <w:bottom w:w="80" w:type="dxa"/>
              <w:end w:w="80" w:type="dxa"/>
            </w:tcMar>
          </w:tcPr>
          <w:p>
            <w:r>
              <w:t>Illustrative response for Explainability / human oversight: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Update and monitoring capability</w:t>
            </w:r>
          </w:p>
        </w:tc>
        <w:tc>
          <w:tcPr>
            <w:tcW w:type="dxa" w:w="1728"/>
            <w:vAlign w:val="centre"/>
            <w:tcMar>
              <w:top w:w="80" w:type="dxa"/>
              <w:start w:w="80" w:type="dxa"/>
              <w:bottom w:w="80" w:type="dxa"/>
              <w:end w:w="80" w:type="dxa"/>
            </w:tcMar>
          </w:tcPr>
          <w:p>
            <w:r>
              <w:t>Illustrative response for Update and monitoring capability: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Contract requirement</w:t>
            </w:r>
          </w:p>
        </w:tc>
        <w:tc>
          <w:tcPr>
            <w:tcW w:type="dxa" w:w="2074"/>
            <w:vAlign w:val="centre"/>
            <w:tcMar>
              <w:top w:w="80" w:type="dxa"/>
              <w:start w:w="80" w:type="dxa"/>
              <w:bottom w:w="80" w:type="dxa"/>
              <w:end w:w="80" w:type="dxa"/>
            </w:tcMar>
            <w:shd w:fill="D9EAF7"/>
          </w:tcPr>
          <w:p>
            <w:r>
              <w:rPr>
                <w:b/>
              </w:rPr>
              <w:t>Included?</w:t>
            </w:r>
          </w:p>
        </w:tc>
        <w:tc>
          <w:tcPr>
            <w:tcW w:type="dxa" w:w="2074"/>
            <w:vAlign w:val="centre"/>
            <w:tcMar>
              <w:top w:w="80" w:type="dxa"/>
              <w:start w:w="80" w:type="dxa"/>
              <w:bottom w:w="80" w:type="dxa"/>
              <w:end w:w="80" w:type="dxa"/>
            </w:tcMar>
            <w:shd w:fill="D9EAF7"/>
          </w:tcPr>
          <w:p>
            <w:r>
              <w:rPr>
                <w:b/>
              </w:rPr>
              <w:t>Clause / location</w:t>
            </w:r>
          </w:p>
        </w:tc>
        <w:tc>
          <w:tcPr>
            <w:tcW w:type="dxa" w:w="2074"/>
            <w:vAlign w:val="centre"/>
            <w:tcMar>
              <w:top w:w="80" w:type="dxa"/>
              <w:start w:w="80" w:type="dxa"/>
              <w:bottom w:w="80" w:type="dxa"/>
              <w:end w:w="80" w:type="dxa"/>
            </w:tcMar>
            <w:shd w:fill="D9EAF7"/>
          </w:tcPr>
          <w:p>
            <w:r>
              <w:rPr>
                <w:b/>
              </w:rPr>
              <w:t>Gap / negotiation position</w:t>
            </w:r>
          </w:p>
        </w:tc>
        <w:tc>
          <w:tcPr>
            <w:tcW w:type="dxa" w:w="2074"/>
            <w:vAlign w:val="centre"/>
            <w:tcMar>
              <w:top w:w="80" w:type="dxa"/>
              <w:start w:w="80" w:type="dxa"/>
              <w:bottom w:w="80" w:type="dxa"/>
              <w:end w:w="80" w:type="dxa"/>
            </w:tcMar>
            <w:shd w:fill="D9EAF7"/>
          </w:tcPr>
          <w:p>
            <w:r>
              <w:rPr>
                <w:b/>
              </w:rPr>
              <w:t>Owner</w:t>
            </w:r>
          </w:p>
        </w:tc>
      </w:tr>
      <w:tr>
        <w:tc>
          <w:tcPr>
            <w:tcW w:type="dxa" w:w="2074"/>
            <w:vAlign w:val="centre"/>
            <w:tcMar>
              <w:top w:w="80" w:type="dxa"/>
              <w:start w:w="80" w:type="dxa"/>
              <w:bottom w:w="80" w:type="dxa"/>
              <w:end w:w="80" w:type="dxa"/>
            </w:tcMar>
          </w:tcPr>
          <w:p>
            <w:r>
              <w:t>Approved intended use and version</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Evidence and audit rights</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Update notice, validation, approval, rollback</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Data use, retention, portability, deletion</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Cybersecurity, vulnerability, incident notification</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Service levels, support, downtime, continuity</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Price, escalation, interface and update costs</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Subprocessors and material changes</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Termination triggers and decommissioning support</w:t>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p>
        </w:tc>
        <w:tc>
          <w:tcPr>
            <w:tcW w:type="dxa" w:w="2074"/>
            <w:vAlign w:val="centre"/>
            <w:tcMar>
              <w:top w:w="80" w:type="dxa"/>
              <w:start w:w="80" w:type="dxa"/>
              <w:bottom w:w="80" w:type="dxa"/>
              <w:end w:w="80" w:type="dxa"/>
            </w:tcMar>
          </w:tcPr>
          <w:p>
            <w:r>
              <w:t>Named project owner</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AIHE-Q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