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Incident Classification and Reconstruction</w:t>
      </w:r>
    </w:p>
    <w:p>
      <w:pPr>
        <w:jc w:val="centre"/>
      </w:pPr>
      <w:r>
        <w:rPr>
          <w:b/>
          <w:color w:val="7A2334"/>
        </w:rPr>
        <w:t>AIHE-D04</w:t>
      </w:r>
    </w:p>
    <w:p>
      <w:pPr>
        <w:spacing w:after="40"/>
      </w:pPr>
      <w:r>
        <w:rPr>
          <w:b/>
        </w:rPr>
        <w:t xml:space="preserve">Primary chapter: </w:t>
      </w:r>
      <w:r>
        <w:t>12 — Decision Architecture and Lifecycle Governance</w:t>
      </w:r>
    </w:p>
    <w:p>
      <w:pPr>
        <w:spacing w:after="40"/>
      </w:pPr>
      <w:r>
        <w:rPr>
          <w:b/>
        </w:rPr>
        <w:t xml:space="preserve">Additional chapter alignment: </w:t>
      </w:r>
      <w:r>
        <w:t>5, 10, 11, 12</w:t>
      </w:r>
    </w:p>
    <w:p>
      <w:pPr>
        <w:spacing w:after="40"/>
      </w:pPr>
      <w:r>
        <w:rPr>
          <w:b/>
        </w:rPr>
        <w:t xml:space="preserve">Legacy aliases: </w:t>
      </w:r>
      <w:r>
        <w:t>AIHE-EX12</w:t>
      </w:r>
    </w:p>
    <w:p>
      <w:pPr>
        <w:spacing w:after="40"/>
      </w:pPr>
      <w:r>
        <w:rPr>
          <w:b/>
        </w:rPr>
        <w:t xml:space="preserve">Version: </w:t>
      </w:r>
      <w:r>
        <w:t>V1.0</w:t>
      </w:r>
    </w:p>
    <w:p>
      <w:pPr>
        <w:pStyle w:val="Heading1"/>
      </w:pPr>
      <w:r>
        <w:t>Purpose</w:t>
      </w:r>
    </w:p>
    <w:p>
      <w:r>
        <w:t>Reconstruct technical, clinical, workflow, privacy, cybersecurity, equity, communication, and economic incidents consistently.</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Event, detection, and category</w:t>
            </w:r>
          </w:p>
        </w:tc>
        <w:tc>
          <w:tcPr>
            <w:tcW w:type="dxa" w:w="3360"/>
            <w:vAlign w:val="top"/>
          </w:tcPr>
          <w:p>
            <w:r>
              <w:rPr>
                <w:sz w:val="17"/>
              </w:rPr>
              <w:t>Describe the event or pattern, who detected it, and how it was classified.</w:t>
            </w:r>
          </w:p>
        </w:tc>
        <w:tc>
          <w:tcPr>
            <w:tcW w:type="dxa" w:w="3360"/>
            <w:vAlign w:val="top"/>
          </w:tcPr>
          <w:p>
            <w:r>
              <w:rPr>
                <w:sz w:val="17"/>
              </w:rPr>
            </w:r>
          </w:p>
        </w:tc>
      </w:tr>
      <w:tr>
        <w:tc>
          <w:tcPr>
            <w:tcW w:type="dxa" w:w="3360"/>
            <w:vAlign w:val="top"/>
            <w:shd w:fill="F2E8EB"/>
          </w:tcPr>
          <w:p>
            <w:r>
              <w:rPr>
                <w:sz w:val="17"/>
              </w:rPr>
              <w:t>Data and provenance</w:t>
            </w:r>
          </w:p>
        </w:tc>
        <w:tc>
          <w:tcPr>
            <w:tcW w:type="dxa" w:w="3360"/>
            <w:vAlign w:val="top"/>
          </w:tcPr>
          <w:p>
            <w:r>
              <w:rPr>
                <w:sz w:val="17"/>
              </w:rPr>
              <w:t>Preserve available data, source, timestamp, transformation, missingness, quality state, and recent source changes.</w:t>
            </w:r>
          </w:p>
        </w:tc>
        <w:tc>
          <w:tcPr>
            <w:tcW w:type="dxa" w:w="3360"/>
            <w:vAlign w:val="top"/>
          </w:tcPr>
          <w:p>
            <w:r>
              <w:rPr>
                <w:sz w:val="17"/>
              </w:rPr>
            </w:r>
          </w:p>
        </w:tc>
      </w:tr>
      <w:tr>
        <w:tc>
          <w:tcPr>
            <w:tcW w:type="dxa" w:w="3360"/>
            <w:vAlign w:val="top"/>
            <w:shd w:fill="F2E8EB"/>
          </w:tcPr>
          <w:p>
            <w:r>
              <w:rPr>
                <w:sz w:val="17"/>
              </w:rPr>
              <w:t>System and configuration</w:t>
            </w:r>
          </w:p>
        </w:tc>
        <w:tc>
          <w:tcPr>
            <w:tcW w:type="dxa" w:w="3360"/>
            <w:vAlign w:val="top"/>
          </w:tcPr>
          <w:p>
            <w:r>
              <w:rPr>
                <w:sz w:val="17"/>
              </w:rPr>
              <w:t>Record model, software, threshold, interface, prompt, template, retrieval, knowledge source, and hosting versions.</w:t>
            </w:r>
          </w:p>
        </w:tc>
        <w:tc>
          <w:tcPr>
            <w:tcW w:type="dxa" w:w="3360"/>
            <w:vAlign w:val="top"/>
          </w:tcPr>
          <w:p>
            <w:r>
              <w:rPr>
                <w:sz w:val="17"/>
              </w:rPr>
            </w:r>
          </w:p>
        </w:tc>
      </w:tr>
      <w:tr>
        <w:tc>
          <w:tcPr>
            <w:tcW w:type="dxa" w:w="3360"/>
            <w:vAlign w:val="top"/>
            <w:shd w:fill="F2E8EB"/>
          </w:tcPr>
          <w:p>
            <w:r>
              <w:rPr>
                <w:sz w:val="17"/>
              </w:rPr>
              <w:t>AI output and uncertainty</w:t>
            </w:r>
          </w:p>
        </w:tc>
        <w:tc>
          <w:tcPr>
            <w:tcW w:type="dxa" w:w="3360"/>
            <w:vAlign w:val="top"/>
          </w:tcPr>
          <w:p>
            <w:r>
              <w:rPr>
                <w:sz w:val="17"/>
              </w:rPr>
              <w:t>Preserve score, classification, recommendation, generated content, alert, action, explanation, and uncertainty.</w:t>
            </w:r>
          </w:p>
        </w:tc>
        <w:tc>
          <w:tcPr>
            <w:tcW w:type="dxa" w:w="3360"/>
            <w:vAlign w:val="top"/>
          </w:tcPr>
          <w:p>
            <w:r>
              <w:rPr>
                <w:sz w:val="17"/>
              </w:rPr>
            </w:r>
          </w:p>
        </w:tc>
      </w:tr>
      <w:tr>
        <w:tc>
          <w:tcPr>
            <w:tcW w:type="dxa" w:w="3360"/>
            <w:vAlign w:val="top"/>
            <w:shd w:fill="F2E8EB"/>
          </w:tcPr>
          <w:p>
            <w:r>
              <w:rPr>
                <w:sz w:val="17"/>
              </w:rPr>
              <w:t>Human action and decision context</w:t>
            </w:r>
          </w:p>
        </w:tc>
        <w:tc>
          <w:tcPr>
            <w:tcW w:type="dxa" w:w="3360"/>
            <w:vAlign w:val="top"/>
          </w:tcPr>
          <w:p>
            <w:r>
              <w:rPr>
                <w:sz w:val="17"/>
              </w:rPr>
              <w:t>Record recipient, information available, accept, reject, modify, ignore, escalation, rationale, workload, staffing, patient condition, and capacity.</w:t>
            </w:r>
          </w:p>
        </w:tc>
        <w:tc>
          <w:tcPr>
            <w:tcW w:type="dxa" w:w="3360"/>
            <w:vAlign w:val="top"/>
          </w:tcPr>
          <w:p>
            <w:r>
              <w:rPr>
                <w:sz w:val="17"/>
              </w:rPr>
            </w:r>
          </w:p>
        </w:tc>
      </w:tr>
      <w:tr>
        <w:tc>
          <w:tcPr>
            <w:tcW w:type="dxa" w:w="3360"/>
            <w:vAlign w:val="top"/>
            <w:shd w:fill="F2E8EB"/>
          </w:tcPr>
          <w:p>
            <w:r>
              <w:rPr>
                <w:sz w:val="17"/>
              </w:rPr>
              <w:t>Immediate response</w:t>
            </w:r>
          </w:p>
        </w:tc>
        <w:tc>
          <w:tcPr>
            <w:tcW w:type="dxa" w:w="3360"/>
            <w:vAlign w:val="top"/>
          </w:tcPr>
          <w:p>
            <w:r>
              <w:rPr>
                <w:sz w:val="17"/>
              </w:rPr>
              <w:t>Record patient and service protection, containment, notification, restriction, pause, rollback, and fallback.</w:t>
            </w:r>
          </w:p>
        </w:tc>
        <w:tc>
          <w:tcPr>
            <w:tcW w:type="dxa" w:w="3360"/>
            <w:vAlign w:val="top"/>
          </w:tcPr>
          <w:p>
            <w:r>
              <w:rPr>
                <w:sz w:val="17"/>
              </w:rPr>
            </w:r>
          </w:p>
        </w:tc>
      </w:tr>
      <w:tr>
        <w:tc>
          <w:tcPr>
            <w:tcW w:type="dxa" w:w="3360"/>
            <w:vAlign w:val="top"/>
            <w:shd w:fill="F2E8EB"/>
          </w:tcPr>
          <w:p>
            <w:r>
              <w:rPr>
                <w:sz w:val="17"/>
              </w:rPr>
              <w:t>Causal analysis and residual uncertainty</w:t>
            </w:r>
          </w:p>
        </w:tc>
        <w:tc>
          <w:tcPr>
            <w:tcW w:type="dxa" w:w="3360"/>
            <w:vAlign w:val="top"/>
          </w:tcPr>
          <w:p>
            <w:r>
              <w:rPr>
                <w:sz w:val="17"/>
              </w:rPr>
              <w:t>Distinguish confirmed, contributing, and unresolved technical, clinical, workflow, organizational, and governance causes.</w:t>
            </w:r>
          </w:p>
        </w:tc>
        <w:tc>
          <w:tcPr>
            <w:tcW w:type="dxa" w:w="3360"/>
            <w:vAlign w:val="top"/>
          </w:tcPr>
          <w:p>
            <w:r>
              <w:rPr>
                <w:sz w:val="17"/>
              </w:rPr>
            </w:r>
          </w:p>
        </w:tc>
      </w:tr>
      <w:tr>
        <w:tc>
          <w:tcPr>
            <w:tcW w:type="dxa" w:w="3360"/>
            <w:vAlign w:val="top"/>
            <w:shd w:fill="F2E8EB"/>
          </w:tcPr>
          <w:p>
            <w:r>
              <w:rPr>
                <w:sz w:val="17"/>
              </w:rPr>
              <w:t>Corrective and preventive action</w:t>
            </w:r>
          </w:p>
        </w:tc>
        <w:tc>
          <w:tcPr>
            <w:tcW w:type="dxa" w:w="3360"/>
            <w:vAlign w:val="top"/>
          </w:tcPr>
          <w:p>
            <w:r>
              <w:rPr>
                <w:sz w:val="17"/>
              </w:rPr>
              <w:t>Record action, owner, deadline, revalidation, communication, vendor or contract response, monitoring change, and effectiveness check.</w:t>
            </w:r>
          </w:p>
        </w:tc>
        <w:tc>
          <w:tcPr>
            <w:tcW w:type="dxa" w:w="3360"/>
            <w:vAlign w:val="top"/>
          </w:tcPr>
          <w:p>
            <w:r>
              <w:rPr>
                <w:sz w:val="17"/>
              </w:rPr>
            </w:r>
          </w:p>
        </w:tc>
      </w:tr>
      <w:tr>
        <w:tc>
          <w:tcPr>
            <w:tcW w:type="dxa" w:w="3360"/>
            <w:vAlign w:val="top"/>
            <w:shd w:fill="F2E8EB"/>
          </w:tcPr>
          <w:p>
            <w:r>
              <w:rPr>
                <w:sz w:val="17"/>
              </w:rPr>
              <w:t>Closure and learning</w:t>
            </w:r>
          </w:p>
        </w:tc>
        <w:tc>
          <w:tcPr>
            <w:tcW w:type="dxa" w:w="3360"/>
            <w:vAlign w:val="top"/>
          </w:tcPr>
          <w:p>
            <w:r>
              <w:rPr>
                <w:sz w:val="17"/>
              </w:rPr>
              <w:t>Record closure authority, evidence, affected records and people, residual risk, recurrence prevention, and portfolio implications.</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Event, detection, and category</w:t>
            </w:r>
          </w:p>
        </w:tc>
        <w:tc>
          <w:tcPr>
            <w:tcW w:type="dxa" w:w="3360"/>
            <w:vAlign w:val="top"/>
          </w:tcPr>
          <w:p>
            <w:r>
              <w:rPr>
                <w:sz w:val="17"/>
              </w:rPr>
              <w:t>Describe the event or pattern, who detected it, and how it was classified.</w:t>
            </w:r>
          </w:p>
        </w:tc>
        <w:tc>
          <w:tcPr>
            <w:tcW w:type="dxa" w:w="3360"/>
            <w:vAlign w:val="top"/>
          </w:tcPr>
          <w:p>
            <w:r>
              <w:rPr>
                <w:sz w:val="17"/>
              </w:rPr>
              <w:t>Synthetic event: an interface delay produced stale scores; detected by the data-freshness monitor; technical and clinical categories.</w:t>
            </w:r>
          </w:p>
        </w:tc>
      </w:tr>
      <w:tr>
        <w:tc>
          <w:tcPr>
            <w:tcW w:type="dxa" w:w="3360"/>
            <w:vAlign w:val="top"/>
            <w:shd w:fill="EFEFEF"/>
          </w:tcPr>
          <w:p>
            <w:r>
              <w:rPr>
                <w:sz w:val="17"/>
              </w:rPr>
              <w:t>Data and provenance</w:t>
            </w:r>
          </w:p>
        </w:tc>
        <w:tc>
          <w:tcPr>
            <w:tcW w:type="dxa" w:w="3360"/>
            <w:vAlign w:val="top"/>
          </w:tcPr>
          <w:p>
            <w:r>
              <w:rPr>
                <w:sz w:val="17"/>
              </w:rPr>
              <w:t>Preserve available data, source, timestamp, transformation, missingness, quality state, and recent source changes.</w:t>
            </w:r>
          </w:p>
        </w:tc>
        <w:tc>
          <w:tcPr>
            <w:tcW w:type="dxa" w:w="3360"/>
            <w:vAlign w:val="top"/>
          </w:tcPr>
          <w:p>
            <w:r>
              <w:rPr>
                <w:sz w:val="17"/>
              </w:rPr>
              <w:t>Preserved source messages, timestamps, transformations, completeness state, and interface history.</w:t>
            </w:r>
          </w:p>
        </w:tc>
      </w:tr>
      <w:tr>
        <w:tc>
          <w:tcPr>
            <w:tcW w:type="dxa" w:w="3360"/>
            <w:vAlign w:val="top"/>
            <w:shd w:fill="EFEFEF"/>
          </w:tcPr>
          <w:p>
            <w:r>
              <w:rPr>
                <w:sz w:val="17"/>
              </w:rPr>
              <w:t>System and configuration</w:t>
            </w:r>
          </w:p>
        </w:tc>
        <w:tc>
          <w:tcPr>
            <w:tcW w:type="dxa" w:w="3360"/>
            <w:vAlign w:val="top"/>
          </w:tcPr>
          <w:p>
            <w:r>
              <w:rPr>
                <w:sz w:val="17"/>
              </w:rPr>
              <w:t>Record model, software, threshold, interface, prompt, template, retrieval, knowledge source, and hosting versions.</w:t>
            </w:r>
          </w:p>
        </w:tc>
        <w:tc>
          <w:tcPr>
            <w:tcW w:type="dxa" w:w="3360"/>
            <w:vAlign w:val="top"/>
          </w:tcPr>
          <w:p>
            <w:r>
              <w:rPr>
                <w:sz w:val="17"/>
              </w:rPr>
              <w:t>Model v2.1, threshold 0.18, interface build 4.3, hosted release 11.4.</w:t>
            </w:r>
          </w:p>
        </w:tc>
      </w:tr>
      <w:tr>
        <w:tc>
          <w:tcPr>
            <w:tcW w:type="dxa" w:w="3360"/>
            <w:vAlign w:val="top"/>
            <w:shd w:fill="EFEFEF"/>
          </w:tcPr>
          <w:p>
            <w:r>
              <w:rPr>
                <w:sz w:val="17"/>
              </w:rPr>
              <w:t>AI output and uncertainty</w:t>
            </w:r>
          </w:p>
        </w:tc>
        <w:tc>
          <w:tcPr>
            <w:tcW w:type="dxa" w:w="3360"/>
            <w:vAlign w:val="top"/>
          </w:tcPr>
          <w:p>
            <w:r>
              <w:rPr>
                <w:sz w:val="17"/>
              </w:rPr>
              <w:t>Preserve score, classification, recommendation, generated content, alert, action, explanation, and uncertainty.</w:t>
            </w:r>
          </w:p>
        </w:tc>
        <w:tc>
          <w:tcPr>
            <w:tcW w:type="dxa" w:w="3360"/>
            <w:vAlign w:val="top"/>
          </w:tcPr>
          <w:p>
            <w:r>
              <w:rPr>
                <w:sz w:val="17"/>
              </w:rPr>
              <w:t>Risk score 0.09 based on stale observations; freshness warning was not displayed.</w:t>
            </w:r>
          </w:p>
        </w:tc>
      </w:tr>
      <w:tr>
        <w:tc>
          <w:tcPr>
            <w:tcW w:type="dxa" w:w="3360"/>
            <w:vAlign w:val="top"/>
            <w:shd w:fill="EFEFEF"/>
          </w:tcPr>
          <w:p>
            <w:r>
              <w:rPr>
                <w:sz w:val="17"/>
              </w:rPr>
              <w:t>Human action and decision context</w:t>
            </w:r>
          </w:p>
        </w:tc>
        <w:tc>
          <w:tcPr>
            <w:tcW w:type="dxa" w:w="3360"/>
            <w:vAlign w:val="top"/>
          </w:tcPr>
          <w:p>
            <w:r>
              <w:rPr>
                <w:sz w:val="17"/>
              </w:rPr>
              <w:t>Record recipient, information available, accept, reject, modify, ignore, escalation, rationale, workload, staffing, patient condition, and capacity.</w:t>
            </w:r>
          </w:p>
        </w:tc>
        <w:tc>
          <w:tcPr>
            <w:tcW w:type="dxa" w:w="3360"/>
            <w:vAlign w:val="top"/>
          </w:tcPr>
          <w:p>
            <w:r>
              <w:rPr>
                <w:sz w:val="17"/>
              </w:rPr>
              <w:t>Clinician accepted the display during peak workload; deterioration identified 18 minutes later through usual care.</w:t>
            </w:r>
          </w:p>
        </w:tc>
      </w:tr>
      <w:tr>
        <w:tc>
          <w:tcPr>
            <w:tcW w:type="dxa" w:w="3360"/>
            <w:vAlign w:val="top"/>
            <w:shd w:fill="EFEFEF"/>
          </w:tcPr>
          <w:p>
            <w:r>
              <w:rPr>
                <w:sz w:val="17"/>
              </w:rPr>
              <w:t>Immediate response</w:t>
            </w:r>
          </w:p>
        </w:tc>
        <w:tc>
          <w:tcPr>
            <w:tcW w:type="dxa" w:w="3360"/>
            <w:vAlign w:val="top"/>
          </w:tcPr>
          <w:p>
            <w:r>
              <w:rPr>
                <w:sz w:val="17"/>
              </w:rPr>
              <w:t>Record patient and service protection, containment, notification, restriction, pause, rollback, and fallback.</w:t>
            </w:r>
          </w:p>
        </w:tc>
        <w:tc>
          <w:tcPr>
            <w:tcW w:type="dxa" w:w="3360"/>
            <w:vAlign w:val="top"/>
          </w:tcPr>
          <w:p>
            <w:r>
              <w:rPr>
                <w:sz w:val="17"/>
              </w:rPr>
              <w:t>Paused display, activated fallback, reviewed affected encounters, and notified safety and vendor teams.</w:t>
            </w:r>
          </w:p>
        </w:tc>
      </w:tr>
      <w:tr>
        <w:tc>
          <w:tcPr>
            <w:tcW w:type="dxa" w:w="3360"/>
            <w:vAlign w:val="top"/>
            <w:shd w:fill="EFEFEF"/>
          </w:tcPr>
          <w:p>
            <w:r>
              <w:rPr>
                <w:sz w:val="17"/>
              </w:rPr>
              <w:t>Causal analysis and residual uncertainty</w:t>
            </w:r>
          </w:p>
        </w:tc>
        <w:tc>
          <w:tcPr>
            <w:tcW w:type="dxa" w:w="3360"/>
            <w:vAlign w:val="top"/>
          </w:tcPr>
          <w:p>
            <w:r>
              <w:rPr>
                <w:sz w:val="17"/>
              </w:rPr>
              <w:t>Distinguish confirmed, contributing, and unresolved technical, clinical, workflow, organizational, and governance causes.</w:t>
            </w:r>
          </w:p>
        </w:tc>
        <w:tc>
          <w:tcPr>
            <w:tcW w:type="dxa" w:w="3360"/>
            <w:vAlign w:val="top"/>
          </w:tcPr>
          <w:p>
            <w:r>
              <w:rPr>
                <w:sz w:val="17"/>
              </w:rPr>
              <w:t>Confirmed interface-queue failure; contributing alert-design weakness; residual uncertainty about five encounters.</w:t>
            </w:r>
          </w:p>
        </w:tc>
      </w:tr>
      <w:tr>
        <w:tc>
          <w:tcPr>
            <w:tcW w:type="dxa" w:w="3360"/>
            <w:vAlign w:val="top"/>
            <w:shd w:fill="EFEFEF"/>
          </w:tcPr>
          <w:p>
            <w:r>
              <w:rPr>
                <w:sz w:val="17"/>
              </w:rPr>
              <w:t>Corrective and preventive action</w:t>
            </w:r>
          </w:p>
        </w:tc>
        <w:tc>
          <w:tcPr>
            <w:tcW w:type="dxa" w:w="3360"/>
            <w:vAlign w:val="top"/>
          </w:tcPr>
          <w:p>
            <w:r>
              <w:rPr>
                <w:sz w:val="17"/>
              </w:rPr>
              <w:t>Record action, owner, deadline, revalidation, communication, vendor or contract response, monitoring change, and effectiveness check.</w:t>
            </w:r>
          </w:p>
        </w:tc>
        <w:tc>
          <w:tcPr>
            <w:tcW w:type="dxa" w:w="3360"/>
            <w:vAlign w:val="top"/>
          </w:tcPr>
          <w:p>
            <w:r>
              <w:rPr>
                <w:sz w:val="17"/>
              </w:rPr>
              <w:t>Add freshness hard stop, queue monitoring, regression test, revalidation, and vendor corrective-action deadline.</w:t>
            </w:r>
          </w:p>
        </w:tc>
      </w:tr>
      <w:tr>
        <w:tc>
          <w:tcPr>
            <w:tcW w:type="dxa" w:w="3360"/>
            <w:vAlign w:val="top"/>
            <w:shd w:fill="EFEFEF"/>
          </w:tcPr>
          <w:p>
            <w:r>
              <w:rPr>
                <w:sz w:val="17"/>
              </w:rPr>
              <w:t>Closure and learning</w:t>
            </w:r>
          </w:p>
        </w:tc>
        <w:tc>
          <w:tcPr>
            <w:tcW w:type="dxa" w:w="3360"/>
            <w:vAlign w:val="top"/>
          </w:tcPr>
          <w:p>
            <w:r>
              <w:rPr>
                <w:sz w:val="17"/>
              </w:rPr>
              <w:t>Record closure authority, evidence, affected records and people, residual risk, recurrence prevention, and portfolio implications.</w:t>
            </w:r>
          </w:p>
        </w:tc>
        <w:tc>
          <w:tcPr>
            <w:tcW w:type="dxa" w:w="3360"/>
            <w:vAlign w:val="top"/>
          </w:tcPr>
          <w:p>
            <w:r>
              <w:rPr>
                <w:sz w:val="17"/>
              </w:rPr>
              <w:t>Closed after effectiveness testing; portfolio-wide interface freshness control adopted.</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