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AIHE-T — AI De-adoption and Decommissioning Plan</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AIHE-T</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 Chapter 12: Decision Architecture and Lifecycle Governance; Chapter 14: Circular Procurement and Asset Stewardship</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Complete this plan before live deployment and update it at renewal. A system should be capable of safe restriction, pause, replacement, and retirement. Exit criteria should be measurable, contractually supported, and linked to continuity of care.</w:t>
      </w:r>
    </w:p>
    <w:p>
      <w:r>
        <w:t>Table T.1. De-adoption triggers and authority.</w:t>
      </w:r>
    </w:p>
    <w:p>
      <w:r>
        <w:t>Table T.2. AI decommissioning workplan.</w:t>
      </w:r>
    </w:p>
    <w:p>
      <w:r>
        <w:t>Table T.3. De-adoption decision memo.</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D9EAF7"/>
          </w:tcPr>
          <w:p>
            <w:r>
              <w:rPr>
                <w:b/>
              </w:rPr>
              <w:t>Trigger domain</w:t>
            </w:r>
          </w:p>
        </w:tc>
        <w:tc>
          <w:tcPr>
            <w:tcW w:type="dxa" w:w="2328"/>
            <w:vAlign w:val="centre"/>
            <w:tcMar>
              <w:top w:w="80" w:type="dxa"/>
              <w:start w:w="80" w:type="dxa"/>
              <w:bottom w:w="80" w:type="dxa"/>
              <w:end w:w="80" w:type="dxa"/>
            </w:tcMar>
            <w:shd w:fill="D9EAF7"/>
          </w:tcPr>
          <w:p>
            <w:r>
              <w:rPr>
                <w:b/>
              </w:rPr>
              <w:t>Indicator / event</w:t>
            </w:r>
          </w:p>
        </w:tc>
        <w:tc>
          <w:tcPr>
            <w:tcW w:type="dxa" w:w="2328"/>
            <w:vAlign w:val="centre"/>
            <w:tcMar>
              <w:top w:w="80" w:type="dxa"/>
              <w:start w:w="80" w:type="dxa"/>
              <w:bottom w:w="80" w:type="dxa"/>
              <w:end w:w="80" w:type="dxa"/>
            </w:tcMar>
            <w:shd w:fill="D9EAF7"/>
          </w:tcPr>
          <w:p>
            <w:r>
              <w:rPr>
                <w:b/>
              </w:rPr>
              <w:t>Threshold</w:t>
            </w:r>
          </w:p>
        </w:tc>
        <w:tc>
          <w:tcPr>
            <w:tcW w:type="dxa" w:w="2328"/>
            <w:vAlign w:val="centre"/>
            <w:tcMar>
              <w:top w:w="80" w:type="dxa"/>
              <w:start w:w="80" w:type="dxa"/>
              <w:bottom w:w="80" w:type="dxa"/>
              <w:end w:w="80" w:type="dxa"/>
            </w:tcMar>
            <w:shd w:fill="D9EAF7"/>
          </w:tcPr>
          <w:p>
            <w:r>
              <w:rPr>
                <w:b/>
              </w:rPr>
              <w:t>Immediate action</w:t>
            </w:r>
          </w:p>
        </w:tc>
        <w:tc>
          <w:tcPr>
            <w:tcW w:type="dxa" w:w="2328"/>
            <w:vAlign w:val="centre"/>
            <w:tcMar>
              <w:top w:w="80" w:type="dxa"/>
              <w:start w:w="80" w:type="dxa"/>
              <w:bottom w:w="80" w:type="dxa"/>
              <w:end w:w="80" w:type="dxa"/>
            </w:tcMar>
            <w:shd w:fill="D9EAF7"/>
          </w:tcPr>
          <w:p>
            <w:r>
              <w:rPr>
                <w:b/>
              </w:rPr>
              <w:t>Review authority</w:t>
            </w:r>
          </w:p>
        </w:tc>
        <w:tc>
          <w:tcPr>
            <w:tcW w:type="dxa" w:w="2328"/>
            <w:vAlign w:val="centre"/>
            <w:tcMar>
              <w:top w:w="80" w:type="dxa"/>
              <w:start w:w="80" w:type="dxa"/>
              <w:bottom w:w="80" w:type="dxa"/>
              <w:end w:w="80" w:type="dxa"/>
            </w:tcMar>
            <w:shd w:fill="D9EAF7"/>
          </w:tcPr>
          <w:p>
            <w:r>
              <w:rPr>
                <w:b/>
              </w:rPr>
              <w:t>Potential final action</w:t>
            </w:r>
          </w:p>
        </w:tc>
      </w:tr>
      <w:tr>
        <w:tc>
          <w:tcPr>
            <w:tcW w:type="dxa" w:w="2328"/>
            <w:vAlign w:val="centre"/>
            <w:tcMar>
              <w:top w:w="80" w:type="dxa"/>
              <w:start w:w="80" w:type="dxa"/>
              <w:bottom w:w="80" w:type="dxa"/>
              <w:end w:w="80" w:type="dxa"/>
            </w:tcMar>
          </w:tcPr>
          <w:p>
            <w:r>
              <w:t>Performance / drift</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Patient safety</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Equity / exclusion</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Economic value / budget</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Workflow / workforce</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Cybersecurity / privacy</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Vendor / contract</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Regulation / strategy</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r>
        <w:tc>
          <w:tcPr>
            <w:tcW w:type="dxa" w:w="2328"/>
            <w:vAlign w:val="centre"/>
            <w:tcMar>
              <w:top w:w="80" w:type="dxa"/>
              <w:start w:w="80" w:type="dxa"/>
              <w:bottom w:w="80" w:type="dxa"/>
              <w:end w:w="80" w:type="dxa"/>
            </w:tcMar>
          </w:tcPr>
          <w:p>
            <w:r>
              <w:t>Trust / legitimacy</w:t>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c>
          <w:tcPr>
            <w:tcW w:type="dxa" w:w="2328"/>
            <w:vAlign w:val="centre"/>
            <w:tcMar>
              <w:top w:w="80" w:type="dxa"/>
              <w:start w:w="80" w:type="dxa"/>
              <w:bottom w:w="80" w:type="dxa"/>
              <w:end w:w="80" w:type="dxa"/>
            </w:tcMar>
          </w:tcPr>
          <w:p>
            <w:r/>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D9EAF7"/>
          </w:tcPr>
          <w:p>
            <w:r>
              <w:rPr>
                <w:b/>
              </w:rPr>
              <w:t>Exit workstream</w:t>
            </w:r>
          </w:p>
        </w:tc>
        <w:tc>
          <w:tcPr>
            <w:tcW w:type="dxa" w:w="1728"/>
            <w:vAlign w:val="centre"/>
            <w:tcMar>
              <w:top w:w="80" w:type="dxa"/>
              <w:start w:w="80" w:type="dxa"/>
              <w:bottom w:w="80" w:type="dxa"/>
              <w:end w:w="80" w:type="dxa"/>
            </w:tcMar>
            <w:shd w:fill="D9EAF7"/>
          </w:tcPr>
          <w:p>
            <w:r>
              <w:rPr>
                <w:b/>
              </w:rPr>
              <w:t>Required action</w:t>
            </w:r>
          </w:p>
        </w:tc>
        <w:tc>
          <w:tcPr>
            <w:tcW w:type="dxa" w:w="1728"/>
            <w:vAlign w:val="centre"/>
            <w:tcMar>
              <w:top w:w="80" w:type="dxa"/>
              <w:start w:w="80" w:type="dxa"/>
              <w:bottom w:w="80" w:type="dxa"/>
              <w:end w:w="80" w:type="dxa"/>
            </w:tcMar>
            <w:shd w:fill="D9EAF7"/>
          </w:tcPr>
          <w:p>
            <w:r>
              <w:rPr>
                <w:b/>
              </w:rPr>
              <w:t>Owner</w:t>
            </w:r>
          </w:p>
        </w:tc>
        <w:tc>
          <w:tcPr>
            <w:tcW w:type="dxa" w:w="1728"/>
            <w:vAlign w:val="centre"/>
            <w:tcMar>
              <w:top w:w="80" w:type="dxa"/>
              <w:start w:w="80" w:type="dxa"/>
              <w:bottom w:w="80" w:type="dxa"/>
              <w:end w:w="80" w:type="dxa"/>
            </w:tcMar>
            <w:shd w:fill="D9EAF7"/>
          </w:tcPr>
          <w:p>
            <w:r>
              <w:rPr>
                <w:b/>
              </w:rPr>
              <w:t>Dependency</w:t>
            </w:r>
          </w:p>
        </w:tc>
        <w:tc>
          <w:tcPr>
            <w:tcW w:type="dxa" w:w="1728"/>
            <w:vAlign w:val="centre"/>
            <w:tcMar>
              <w:top w:w="80" w:type="dxa"/>
              <w:start w:w="80" w:type="dxa"/>
              <w:bottom w:w="80" w:type="dxa"/>
              <w:end w:w="80" w:type="dxa"/>
            </w:tcMar>
            <w:shd w:fill="D9EAF7"/>
          </w:tcPr>
          <w:p>
            <w:r>
              <w:rPr>
                <w:b/>
              </w:rPr>
              <w:t>Deadline</w:t>
            </w:r>
          </w:p>
        </w:tc>
        <w:tc>
          <w:tcPr>
            <w:tcW w:type="dxa" w:w="1728"/>
            <w:vAlign w:val="centre"/>
            <w:tcMar>
              <w:top w:w="80" w:type="dxa"/>
              <w:start w:w="80" w:type="dxa"/>
              <w:bottom w:w="80" w:type="dxa"/>
              <w:end w:w="80" w:type="dxa"/>
            </w:tcMar>
            <w:shd w:fill="D9EAF7"/>
          </w:tcPr>
          <w:p>
            <w:r>
              <w:rPr>
                <w:b/>
              </w:rPr>
              <w:t>Completion evidence</w:t>
            </w:r>
          </w:p>
        </w:tc>
      </w:tr>
      <w:tr>
        <w:tc>
          <w:tcPr>
            <w:tcW w:type="dxa" w:w="1728"/>
            <w:vAlign w:val="centre"/>
            <w:tcMar>
              <w:top w:w="80" w:type="dxa"/>
              <w:start w:w="80" w:type="dxa"/>
              <w:bottom w:w="80" w:type="dxa"/>
              <w:end w:w="80" w:type="dxa"/>
            </w:tcMar>
          </w:tcPr>
          <w:p>
            <w:r>
              <w:t>Clinical continuity and fallback workflow</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Clinical continuity and fallback workflow: evidence documented, limitations noted, and an accountable owner assigned.</w:t>
            </w:r>
          </w:p>
        </w:tc>
      </w:tr>
      <w:tr>
        <w:tc>
          <w:tcPr>
            <w:tcW w:type="dxa" w:w="1728"/>
            <w:vAlign w:val="centre"/>
            <w:tcMar>
              <w:top w:w="80" w:type="dxa"/>
              <w:start w:w="80" w:type="dxa"/>
              <w:bottom w:w="80" w:type="dxa"/>
              <w:end w:w="80" w:type="dxa"/>
            </w:tcMar>
          </w:tcPr>
          <w:p>
            <w:r>
              <w:t>Patient and workforce communication</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Patient and workforce communication: evidence documented, limitations noted, and an accountable owner assigned.</w:t>
            </w:r>
          </w:p>
        </w:tc>
      </w:tr>
      <w:tr>
        <w:tc>
          <w:tcPr>
            <w:tcW w:type="dxa" w:w="1728"/>
            <w:vAlign w:val="centre"/>
            <w:tcMar>
              <w:top w:w="80" w:type="dxa"/>
              <w:start w:w="80" w:type="dxa"/>
              <w:bottom w:w="80" w:type="dxa"/>
              <w:end w:w="80" w:type="dxa"/>
            </w:tcMar>
          </w:tcPr>
          <w:p>
            <w:r>
              <w:t>Data export, retention, and deletion</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Data export, retention, and deletion: evidence documented, limitations noted, and an accountable owner assigned.</w:t>
            </w:r>
          </w:p>
        </w:tc>
      </w:tr>
      <w:tr>
        <w:tc>
          <w:tcPr>
            <w:tcW w:type="dxa" w:w="1728"/>
            <w:vAlign w:val="centre"/>
            <w:tcMar>
              <w:top w:w="80" w:type="dxa"/>
              <w:start w:w="80" w:type="dxa"/>
              <w:bottom w:w="80" w:type="dxa"/>
              <w:end w:w="80" w:type="dxa"/>
            </w:tcMar>
          </w:tcPr>
          <w:p>
            <w:r>
              <w:t>Interface and access removal</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Interface and access removal: evidence documented, limitations noted, and an accountable owner assigned.</w:t>
            </w:r>
          </w:p>
        </w:tc>
      </w:tr>
      <w:tr>
        <w:tc>
          <w:tcPr>
            <w:tcW w:type="dxa" w:w="1728"/>
            <w:vAlign w:val="centre"/>
            <w:tcMar>
              <w:top w:w="80" w:type="dxa"/>
              <w:start w:w="80" w:type="dxa"/>
              <w:bottom w:w="80" w:type="dxa"/>
              <w:end w:w="80" w:type="dxa"/>
            </w:tcMar>
          </w:tcPr>
          <w:p>
            <w:r>
              <w:t>Record and audit preservation</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Record and audit preservation: evidence documented, limitations noted, and an accountable owner assigned.</w:t>
            </w:r>
          </w:p>
        </w:tc>
      </w:tr>
      <w:tr>
        <w:tc>
          <w:tcPr>
            <w:tcW w:type="dxa" w:w="1728"/>
            <w:vAlign w:val="centre"/>
            <w:tcMar>
              <w:top w:w="80" w:type="dxa"/>
              <w:start w:w="80" w:type="dxa"/>
              <w:bottom w:w="80" w:type="dxa"/>
              <w:end w:w="80" w:type="dxa"/>
            </w:tcMar>
          </w:tcPr>
          <w:p>
            <w:r>
              <w:t>Cybersecurity closure and credential revocation</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Cybersecurity closure and credential revocation: evidence documented, limitations noted, and an accountable owner assigned.</w:t>
            </w:r>
          </w:p>
        </w:tc>
      </w:tr>
      <w:tr>
        <w:tc>
          <w:tcPr>
            <w:tcW w:type="dxa" w:w="1728"/>
            <w:vAlign w:val="centre"/>
            <w:tcMar>
              <w:top w:w="80" w:type="dxa"/>
              <w:start w:w="80" w:type="dxa"/>
              <w:bottom w:w="80" w:type="dxa"/>
              <w:end w:w="80" w:type="dxa"/>
            </w:tcMar>
          </w:tcPr>
          <w:p>
            <w:r>
              <w:t>Replacement or manual process validation</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Replacement or manual process validation: evidence documented, limitations noted, and an accountable owner assigned.</w:t>
            </w:r>
          </w:p>
        </w:tc>
      </w:tr>
      <w:tr>
        <w:tc>
          <w:tcPr>
            <w:tcW w:type="dxa" w:w="1728"/>
            <w:vAlign w:val="centre"/>
            <w:tcMar>
              <w:top w:w="80" w:type="dxa"/>
              <w:start w:w="80" w:type="dxa"/>
              <w:bottom w:w="80" w:type="dxa"/>
              <w:end w:w="80" w:type="dxa"/>
            </w:tcMar>
          </w:tcPr>
          <w:p>
            <w:r>
              <w:t>Contract termination and financial settlement</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Contract termination and financial settlement: evidence documented, limitations noted, and an accountable owner assigned.</w:t>
            </w:r>
          </w:p>
        </w:tc>
      </w:tr>
      <w:tr>
        <w:tc>
          <w:tcPr>
            <w:tcW w:type="dxa" w:w="1728"/>
            <w:vAlign w:val="centre"/>
            <w:tcMar>
              <w:top w:w="80" w:type="dxa"/>
              <w:start w:w="80" w:type="dxa"/>
              <w:bottom w:w="80" w:type="dxa"/>
              <w:end w:w="80" w:type="dxa"/>
            </w:tcMar>
          </w:tcPr>
          <w:p>
            <w:r>
              <w:t>Post-exit safety and outcome monitoring</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Post-exit safety and outcome monitoring: evidence documented, limitations noted, and an accountable owner assigned.</w:t>
            </w:r>
          </w:p>
        </w:tc>
      </w:tr>
      <w:tr>
        <w:tc>
          <w:tcPr>
            <w:tcW w:type="dxa" w:w="1728"/>
            <w:vAlign w:val="centre"/>
            <w:tcMar>
              <w:top w:w="80" w:type="dxa"/>
              <w:start w:w="80" w:type="dxa"/>
              <w:bottom w:w="80" w:type="dxa"/>
              <w:end w:w="80" w:type="dxa"/>
            </w:tcMar>
          </w:tcPr>
          <w:p>
            <w:r>
              <w:t>Lessons learned and portfolio update</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Lessons learned and portfolio update: evidence documented, limitations noted, and an accountable owner assigned.</w:t>
            </w:r>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Field</w:t>
            </w:r>
          </w:p>
        </w:tc>
        <w:tc>
          <w:tcPr>
            <w:tcW w:type="dxa" w:w="5184"/>
            <w:vAlign w:val="centre"/>
            <w:tcMar>
              <w:top w:w="80" w:type="dxa"/>
              <w:start w:w="80" w:type="dxa"/>
              <w:bottom w:w="80" w:type="dxa"/>
              <w:end w:w="80" w:type="dxa"/>
            </w:tcMar>
            <w:shd w:fill="D9EAF7"/>
          </w:tcPr>
          <w:p>
            <w:r>
              <w:rPr>
                <w:b/>
              </w:rPr>
              <w:t>Guidance / response</w:t>
            </w:r>
          </w:p>
        </w:tc>
      </w:tr>
      <w:tr>
        <w:tc>
          <w:tcPr>
            <w:tcW w:type="dxa" w:w="5184"/>
            <w:vAlign w:val="centre"/>
            <w:tcMar>
              <w:top w:w="80" w:type="dxa"/>
              <w:start w:w="80" w:type="dxa"/>
              <w:bottom w:w="80" w:type="dxa"/>
              <w:end w:w="80" w:type="dxa"/>
            </w:tcMar>
          </w:tcPr>
          <w:p>
            <w:r>
              <w:t>Reason for restriction / retirement</w:t>
            </w:r>
          </w:p>
        </w:tc>
        <w:tc>
          <w:tcPr>
            <w:tcW w:type="dxa" w:w="5184"/>
            <w:vAlign w:val="centre"/>
            <w:tcMar>
              <w:top w:w="80" w:type="dxa"/>
              <w:start w:w="80" w:type="dxa"/>
              <w:bottom w:w="80" w:type="dxa"/>
              <w:end w:w="80" w:type="dxa"/>
            </w:tcMar>
          </w:tcPr>
          <w:p>
            <w:r>
              <w:t>Illustrative response for Reason for restriction / retirement: evidence documented, limitations noted, and an accountable owner assigned.</w:t>
            </w:r>
          </w:p>
        </w:tc>
      </w:tr>
      <w:tr>
        <w:tc>
          <w:tcPr>
            <w:tcW w:type="dxa" w:w="5184"/>
            <w:vAlign w:val="centre"/>
            <w:tcMar>
              <w:top w:w="80" w:type="dxa"/>
              <w:start w:w="80" w:type="dxa"/>
              <w:bottom w:w="80" w:type="dxa"/>
              <w:end w:w="80" w:type="dxa"/>
            </w:tcMar>
          </w:tcPr>
          <w:p>
            <w:r>
              <w:t>Corrective options considered</w:t>
            </w:r>
          </w:p>
        </w:tc>
        <w:tc>
          <w:tcPr>
            <w:tcW w:type="dxa" w:w="5184"/>
            <w:vAlign w:val="centre"/>
            <w:tcMar>
              <w:top w:w="80" w:type="dxa"/>
              <w:start w:w="80" w:type="dxa"/>
              <w:bottom w:w="80" w:type="dxa"/>
              <w:end w:w="80" w:type="dxa"/>
            </w:tcMar>
          </w:tcPr>
          <w:p>
            <w:r>
              <w:t>Illustrative response for Corrective options considered: evidence documented, limitations noted, and an accountable owner assigned.</w:t>
            </w:r>
          </w:p>
        </w:tc>
      </w:tr>
      <w:tr>
        <w:tc>
          <w:tcPr>
            <w:tcW w:type="dxa" w:w="5184"/>
            <w:vAlign w:val="centre"/>
            <w:tcMar>
              <w:top w:w="80" w:type="dxa"/>
              <w:start w:w="80" w:type="dxa"/>
              <w:bottom w:w="80" w:type="dxa"/>
              <w:end w:w="80" w:type="dxa"/>
            </w:tcMar>
          </w:tcPr>
          <w:p>
            <w:r>
              <w:t>Evidence that residual risk or loss of value remains unacceptable</w:t>
            </w:r>
          </w:p>
        </w:tc>
        <w:tc>
          <w:tcPr>
            <w:tcW w:type="dxa" w:w="5184"/>
            <w:vAlign w:val="centre"/>
            <w:tcMar>
              <w:top w:w="80" w:type="dxa"/>
              <w:start w:w="80" w:type="dxa"/>
              <w:bottom w:w="80" w:type="dxa"/>
              <w:end w:w="80" w:type="dxa"/>
            </w:tcMar>
          </w:tcPr>
          <w:p>
            <w:r>
              <w:t>Illustrative response for Evidence that residual risk or loss of value remains unacceptable: evidence documented, limitations noted, and an accountable owner assigned.</w:t>
            </w:r>
          </w:p>
        </w:tc>
      </w:tr>
      <w:tr>
        <w:tc>
          <w:tcPr>
            <w:tcW w:type="dxa" w:w="5184"/>
            <w:vAlign w:val="centre"/>
            <w:tcMar>
              <w:top w:w="80" w:type="dxa"/>
              <w:start w:w="80" w:type="dxa"/>
              <w:bottom w:w="80" w:type="dxa"/>
              <w:end w:w="80" w:type="dxa"/>
            </w:tcMar>
          </w:tcPr>
          <w:p>
            <w:r>
              <w:t>Continuity risk during exit</w:t>
            </w:r>
          </w:p>
        </w:tc>
        <w:tc>
          <w:tcPr>
            <w:tcW w:type="dxa" w:w="5184"/>
            <w:vAlign w:val="centre"/>
            <w:tcMar>
              <w:top w:w="80" w:type="dxa"/>
              <w:start w:w="80" w:type="dxa"/>
              <w:bottom w:w="80" w:type="dxa"/>
              <w:end w:w="80" w:type="dxa"/>
            </w:tcMar>
          </w:tcPr>
          <w:p>
            <w:r>
              <w:t>Illustrative response for Continuity risk during exit: evidence documented, limitations noted, and an accountable owner assigned.</w:t>
            </w:r>
          </w:p>
        </w:tc>
      </w:tr>
      <w:tr>
        <w:tc>
          <w:tcPr>
            <w:tcW w:type="dxa" w:w="5184"/>
            <w:vAlign w:val="centre"/>
            <w:tcMar>
              <w:top w:w="80" w:type="dxa"/>
              <w:start w:w="80" w:type="dxa"/>
              <w:bottom w:w="80" w:type="dxa"/>
              <w:end w:w="80" w:type="dxa"/>
            </w:tcMar>
          </w:tcPr>
          <w:p>
            <w:r>
              <w:t>Final authority and date</w:t>
            </w:r>
          </w:p>
        </w:tc>
        <w:tc>
          <w:tcPr>
            <w:tcW w:type="dxa" w:w="5184"/>
            <w:vAlign w:val="centre"/>
            <w:tcMar>
              <w:top w:w="80" w:type="dxa"/>
              <w:start w:w="80" w:type="dxa"/>
              <w:bottom w:w="80" w:type="dxa"/>
              <w:end w:w="80" w:type="dxa"/>
            </w:tcMar>
          </w:tcPr>
          <w:p>
            <w:r>
              <w:t>Illustrative response for Final authority and date: evidence documented, limitations noted, and an accountable owner assigned.</w:t>
            </w:r>
          </w:p>
        </w:tc>
      </w:tr>
      <w:tr>
        <w:tc>
          <w:tcPr>
            <w:tcW w:type="dxa" w:w="5184"/>
            <w:vAlign w:val="centre"/>
            <w:tcMar>
              <w:top w:w="80" w:type="dxa"/>
              <w:start w:w="80" w:type="dxa"/>
              <w:bottom w:w="80" w:type="dxa"/>
              <w:end w:w="80" w:type="dxa"/>
            </w:tcMar>
          </w:tcPr>
          <w:p>
            <w:r>
              <w:t>Post-exit review date</w:t>
            </w:r>
          </w:p>
        </w:tc>
        <w:tc>
          <w:tcPr>
            <w:tcW w:type="dxa" w:w="5184"/>
            <w:vAlign w:val="centre"/>
            <w:tcMar>
              <w:top w:w="80" w:type="dxa"/>
              <w:start w:w="80" w:type="dxa"/>
              <w:bottom w:w="80" w:type="dxa"/>
              <w:end w:w="80" w:type="dxa"/>
            </w:tcMar>
          </w:tcPr>
          <w:p>
            <w:r>
              <w:t>Illustrative response for Post-exit review date: evidence documented, limitations noted, and an accountable owner assigned.</w:t>
            </w:r>
          </w:p>
        </w:tc>
      </w:tr>
      <w:tr>
        <w:tc>
          <w:tcPr>
            <w:tcW w:type="dxa" w:w="5184"/>
            <w:vAlign w:val="centre"/>
            <w:tcMar>
              <w:top w:w="80" w:type="dxa"/>
              <w:start w:w="80" w:type="dxa"/>
              <w:bottom w:w="80" w:type="dxa"/>
              <w:end w:w="80" w:type="dxa"/>
            </w:tcMar>
          </w:tcPr>
          <w:p>
            <w:r>
              <w:t>Lessons for future procurement and implementation</w:t>
            </w:r>
          </w:p>
        </w:tc>
        <w:tc>
          <w:tcPr>
            <w:tcW w:type="dxa" w:w="5184"/>
            <w:vAlign w:val="centre"/>
            <w:tcMar>
              <w:top w:w="80" w:type="dxa"/>
              <w:start w:w="80" w:type="dxa"/>
              <w:bottom w:w="80" w:type="dxa"/>
              <w:end w:w="80" w:type="dxa"/>
            </w:tcMar>
          </w:tcPr>
          <w:p>
            <w:r>
              <w:t>Illustrative response for Lessons for future procurement and implementation: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AIHE-T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