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t>Circular-Economy and Sustainable-AI Assessment</w:t>
      </w:r>
    </w:p>
    <w:p>
      <w:pPr>
        <w:jc w:val="centre"/>
      </w:pPr>
      <w:r>
        <w:rPr>
          <w:b/>
          <w:color w:val="7A2334"/>
        </w:rPr>
        <w:t>AIHE-E01</w:t>
      </w:r>
    </w:p>
    <w:p>
      <w:pPr>
        <w:spacing w:after="40"/>
      </w:pPr>
      <w:r>
        <w:rPr>
          <w:b/>
        </w:rPr>
        <w:t xml:space="preserve">Primary chapter: </w:t>
      </w:r>
      <w:r>
        <w:t>13 — Circular Health Systems and Resource Stewardship</w:t>
      </w:r>
    </w:p>
    <w:p>
      <w:pPr>
        <w:spacing w:after="40"/>
      </w:pPr>
      <w:r>
        <w:rPr>
          <w:b/>
        </w:rPr>
        <w:t xml:space="preserve">Additional chapter alignment: </w:t>
      </w:r>
      <w:r>
        <w:t>13, 14, 15</w:t>
      </w:r>
    </w:p>
    <w:p>
      <w:pPr>
        <w:spacing w:after="40"/>
      </w:pPr>
      <w:r>
        <w:rPr>
          <w:b/>
        </w:rPr>
        <w:t xml:space="preserve">Legacy aliases: </w:t>
      </w:r>
      <w:r>
        <w:t>AIHE-CE1</w:t>
      </w:r>
    </w:p>
    <w:p>
      <w:pPr>
        <w:spacing w:after="40"/>
      </w:pPr>
      <w:r>
        <w:rPr>
          <w:b/>
        </w:rPr>
        <w:t xml:space="preserve">Version: </w:t>
      </w:r>
      <w:r>
        <w:t>V1.0</w:t>
      </w:r>
    </w:p>
    <w:p>
      <w:pPr>
        <w:pStyle w:val="Heading1"/>
      </w:pPr>
      <w:r>
        <w:t>Purpose</w:t>
      </w:r>
    </w:p>
    <w:p>
      <w:r>
        <w:t>Apply the circularity hierarchy from prevention and reduction through sharing, maintenance, reuse, refurbishment, recovery, and disposal.</w:t>
      </w:r>
    </w:p>
    <w:p>
      <w:pPr>
        <w:pStyle w:val="Heading1"/>
      </w:pPr>
      <w:r>
        <w:t>Instructions</w:t>
      </w:r>
    </w:p>
    <w:p>
      <w:pPr>
        <w:pStyle w:val="ListBullet"/>
      </w:pPr>
      <w:r>
        <w:t>Create a controlled project copy before entering institutional information.</w:t>
      </w:r>
    </w:p>
    <w:p>
      <w:pPr>
        <w:pStyle w:val="ListBullet"/>
      </w:pPr>
      <w:r>
        <w:t>Complete the record with the people who own the decision, evidence, workflow, budget, safeguards, and follow-up actions.</w:t>
      </w:r>
    </w:p>
    <w:p>
      <w:pPr>
        <w:pStyle w:val="ListBullet"/>
      </w:pPr>
      <w:r>
        <w:t>Distinguish documented evidence from assumptions, unresolved questions, and planned evidence collection.</w:t>
      </w:r>
    </w:p>
    <w:p>
      <w:pPr>
        <w:pStyle w:val="ListBullet"/>
      </w:pPr>
      <w:r>
        <w:t>Record the system and version, intended use, population, setting, comparator, evidence cut-off, accountable owner, decision conditions, review triggers, and exit or renewal criteria.</w:t>
      </w:r>
    </w:p>
    <w:p>
      <w:pPr>
        <w:pStyle w:val="ListBullet"/>
      </w:pPr>
      <w:r>
        <w:t>Do not enter identifiable patient information, credentials, private keys, or confidential contract details into uncontrolled copies.</w:t>
      </w:r>
    </w:p>
    <w:p>
      <w:pPr>
        <w:pStyle w:val="Heading1"/>
      </w:pPr>
      <w:r>
        <w:t>Status and limitations</w:t>
      </w:r>
    </w:p>
    <w:p>
      <w:r>
        <w:t>This resource is a structured decision-support and documentation aid. It is not a validated clinical instrument, legal opinion, regulatory approval, accreditation decision, cybersecurity certification, procurement authorization, or health technology assessment. Adapt it to the applicable jurisdiction, institution, population, workflow, evidence base, and accountable authority.</w:t>
      </w:r>
    </w:p>
    <w:p>
      <w:pPr>
        <w:pStyle w:val="Heading1"/>
      </w:pPr>
      <w:r>
        <w:t>Blank institutional template</w:t>
      </w:r>
    </w:p>
    <w:tbl>
      <w:tblPr>
        <w:tblStyle w:val="TableGrid"/>
        <w:tblW w:type="auto" w:w="0"/>
        <w:jc w:val="centre"/>
        <w:tblLook w:firstColumn="1" w:firstRow="1" w:lastColumn="0" w:lastRow="0" w:noHBand="0" w:noVBand="1" w:val="04A0"/>
      </w:tblPr>
      <w:tblGrid>
        <w:gridCol w:w="2520"/>
        <w:gridCol w:w="2520"/>
        <w:gridCol w:w="2520"/>
        <w:gridCol w:w="2520"/>
      </w:tblGrid>
      <w:tr>
        <w:trPr>
          <w:tblHeader w:val="true"/>
        </w:trPr>
        <w:tc>
          <w:tcPr>
            <w:tcW w:type="dxa" w:w="2520"/>
            <w:shd w:fill="7A2334"/>
          </w:tcPr>
          <w:p>
            <w:r>
              <w:rPr>
                <w:b/>
                <w:color w:val="FFFFFF"/>
                <w:sz w:val="18"/>
              </w:rPr>
              <w:t>Strategy or domain</w:t>
            </w:r>
          </w:p>
        </w:tc>
        <w:tc>
          <w:tcPr>
            <w:tcW w:type="dxa" w:w="2520"/>
            <w:shd w:fill="7A2334"/>
          </w:tcPr>
          <w:p>
            <w:r>
              <w:rPr>
                <w:b/>
                <w:color w:val="FFFFFF"/>
                <w:sz w:val="18"/>
              </w:rPr>
              <w:t>Decision question and evidence</w:t>
            </w:r>
          </w:p>
        </w:tc>
        <w:tc>
          <w:tcPr>
            <w:tcW w:type="dxa" w:w="2520"/>
            <w:shd w:fill="7A2334"/>
          </w:tcPr>
          <w:p>
            <w:r>
              <w:rPr>
                <w:b/>
                <w:color w:val="FFFFFF"/>
                <w:sz w:val="18"/>
              </w:rPr>
              <w:t>Expected value and burden</w:t>
            </w:r>
          </w:p>
        </w:tc>
        <w:tc>
          <w:tcPr>
            <w:tcW w:type="dxa" w:w="2520"/>
            <w:shd w:fill="7A2334"/>
          </w:tcPr>
          <w:p>
            <w:r>
              <w:rPr>
                <w:b/>
                <w:color w:val="FFFFFF"/>
                <w:sz w:val="18"/>
              </w:rPr>
              <w:t>Constraint, action, owner, and measure</w:t>
            </w:r>
          </w:p>
        </w:tc>
      </w:tr>
      <w:tr>
        <w:tc>
          <w:tcPr>
            <w:tcW w:type="dxa" w:w="2520"/>
            <w:vAlign w:val="top"/>
            <w:shd w:fill="F2E8EB"/>
          </w:tcPr>
          <w:p>
            <w:r>
              <w:rPr>
                <w:sz w:val="17"/>
              </w:rPr>
              <w:t>Prevent or avoid</w:t>
            </w:r>
          </w:p>
        </w:tc>
        <w:tc>
          <w:tcPr>
            <w:tcW w:type="dxa" w:w="2520"/>
            <w:vAlign w:val="top"/>
          </w:tcPr>
          <w:p>
            <w:r>
              <w:rPr>
                <w:sz w:val="17"/>
              </w:rPr>
              <w:t>Can the service need be met without new acquisition, unnecessary computation, duplicate data, or low-value activity?</w:t>
            </w:r>
          </w:p>
        </w:tc>
        <w:tc>
          <w:tcPr>
            <w:tcW w:type="dxa" w:w="2520"/>
            <w:vAlign w:val="top"/>
          </w:tcPr>
          <w:p>
            <w:r>
              <w:rPr>
                <w:sz w:val="17"/>
              </w:rPr>
            </w:r>
          </w:p>
        </w:tc>
        <w:tc>
          <w:tcPr>
            <w:tcW w:type="dxa" w:w="2520"/>
            <w:vAlign w:val="top"/>
          </w:tcPr>
          <w:p>
            <w:r>
              <w:rPr>
                <w:sz w:val="17"/>
              </w:rPr>
            </w:r>
          </w:p>
        </w:tc>
      </w:tr>
      <w:tr>
        <w:tc>
          <w:tcPr>
            <w:tcW w:type="dxa" w:w="2520"/>
            <w:vAlign w:val="top"/>
            <w:shd w:fill="F2E8EB"/>
          </w:tcPr>
          <w:p>
            <w:r>
              <w:rPr>
                <w:sz w:val="17"/>
              </w:rPr>
              <w:t>Reduce and optimize</w:t>
            </w:r>
          </w:p>
        </w:tc>
        <w:tc>
          <w:tcPr>
            <w:tcW w:type="dxa" w:w="2520"/>
            <w:vAlign w:val="top"/>
          </w:tcPr>
          <w:p>
            <w:r>
              <w:rPr>
                <w:sz w:val="17"/>
              </w:rPr>
              <w:t>Can model, storage, data, hardware, energy, water, and material intensity be reduced per useful output?</w:t>
            </w:r>
          </w:p>
        </w:tc>
        <w:tc>
          <w:tcPr>
            <w:tcW w:type="dxa" w:w="2520"/>
            <w:vAlign w:val="top"/>
          </w:tcPr>
          <w:p>
            <w:r>
              <w:rPr>
                <w:sz w:val="17"/>
              </w:rPr>
            </w:r>
          </w:p>
        </w:tc>
        <w:tc>
          <w:tcPr>
            <w:tcW w:type="dxa" w:w="2520"/>
            <w:vAlign w:val="top"/>
          </w:tcPr>
          <w:p>
            <w:r>
              <w:rPr>
                <w:sz w:val="17"/>
              </w:rPr>
            </w:r>
          </w:p>
        </w:tc>
      </w:tr>
      <w:tr>
        <w:tc>
          <w:tcPr>
            <w:tcW w:type="dxa" w:w="2520"/>
            <w:vAlign w:val="top"/>
            <w:shd w:fill="F2E8EB"/>
          </w:tcPr>
          <w:p>
            <w:r>
              <w:rPr>
                <w:sz w:val="17"/>
              </w:rPr>
              <w:t>Share and intensify safe use</w:t>
            </w:r>
          </w:p>
        </w:tc>
        <w:tc>
          <w:tcPr>
            <w:tcW w:type="dxa" w:w="2520"/>
            <w:vAlign w:val="top"/>
          </w:tcPr>
          <w:p>
            <w:r>
              <w:rPr>
                <w:sz w:val="17"/>
              </w:rPr>
              <w:t>Can infrastructure, services, capacity, or assets be shared without unacceptable dependency or access effects?</w:t>
            </w:r>
          </w:p>
        </w:tc>
        <w:tc>
          <w:tcPr>
            <w:tcW w:type="dxa" w:w="2520"/>
            <w:vAlign w:val="top"/>
          </w:tcPr>
          <w:p>
            <w:r>
              <w:rPr>
                <w:sz w:val="17"/>
              </w:rPr>
            </w:r>
          </w:p>
        </w:tc>
        <w:tc>
          <w:tcPr>
            <w:tcW w:type="dxa" w:w="2520"/>
            <w:vAlign w:val="top"/>
          </w:tcPr>
          <w:p>
            <w:r>
              <w:rPr>
                <w:sz w:val="17"/>
              </w:rPr>
            </w:r>
          </w:p>
        </w:tc>
      </w:tr>
      <w:tr>
        <w:tc>
          <w:tcPr>
            <w:tcW w:type="dxa" w:w="2520"/>
            <w:vAlign w:val="top"/>
            <w:shd w:fill="F2E8EB"/>
          </w:tcPr>
          <w:p>
            <w:r>
              <w:rPr>
                <w:sz w:val="17"/>
              </w:rPr>
              <w:t>Maintain and repair</w:t>
            </w:r>
          </w:p>
        </w:tc>
        <w:tc>
          <w:tcPr>
            <w:tcW w:type="dxa" w:w="2520"/>
            <w:vAlign w:val="top"/>
          </w:tcPr>
          <w:p>
            <w:r>
              <w:rPr>
                <w:sz w:val="17"/>
              </w:rPr>
              <w:t>Can preventive maintenance, software support, components, and repair preserve safe useful life?</w:t>
            </w:r>
          </w:p>
        </w:tc>
        <w:tc>
          <w:tcPr>
            <w:tcW w:type="dxa" w:w="2520"/>
            <w:vAlign w:val="top"/>
          </w:tcPr>
          <w:p>
            <w:r>
              <w:rPr>
                <w:sz w:val="17"/>
              </w:rPr>
            </w:r>
          </w:p>
        </w:tc>
        <w:tc>
          <w:tcPr>
            <w:tcW w:type="dxa" w:w="2520"/>
            <w:vAlign w:val="top"/>
          </w:tcPr>
          <w:p>
            <w:r>
              <w:rPr>
                <w:sz w:val="17"/>
              </w:rPr>
            </w:r>
          </w:p>
        </w:tc>
      </w:tr>
      <w:tr>
        <w:tc>
          <w:tcPr>
            <w:tcW w:type="dxa" w:w="2520"/>
            <w:vAlign w:val="top"/>
            <w:shd w:fill="F2E8EB"/>
          </w:tcPr>
          <w:p>
            <w:r>
              <w:rPr>
                <w:sz w:val="17"/>
              </w:rPr>
              <w:t>Reuse or repurpose</w:t>
            </w:r>
          </w:p>
        </w:tc>
        <w:tc>
          <w:tcPr>
            <w:tcW w:type="dxa" w:w="2520"/>
            <w:vAlign w:val="top"/>
          </w:tcPr>
          <w:p>
            <w:r>
              <w:rPr>
                <w:sz w:val="17"/>
              </w:rPr>
              <w:t>Can the asset or component serve a verified use after data erasure, validation, and recipient due diligence?</w:t>
            </w:r>
          </w:p>
        </w:tc>
        <w:tc>
          <w:tcPr>
            <w:tcW w:type="dxa" w:w="2520"/>
            <w:vAlign w:val="top"/>
          </w:tcPr>
          <w:p>
            <w:r>
              <w:rPr>
                <w:sz w:val="17"/>
              </w:rPr>
            </w:r>
          </w:p>
        </w:tc>
        <w:tc>
          <w:tcPr>
            <w:tcW w:type="dxa" w:w="2520"/>
            <w:vAlign w:val="top"/>
          </w:tcPr>
          <w:p>
            <w:r>
              <w:rPr>
                <w:sz w:val="17"/>
              </w:rPr>
            </w:r>
          </w:p>
        </w:tc>
      </w:tr>
      <w:tr>
        <w:tc>
          <w:tcPr>
            <w:tcW w:type="dxa" w:w="2520"/>
            <w:vAlign w:val="top"/>
            <w:shd w:fill="F2E8EB"/>
          </w:tcPr>
          <w:p>
            <w:r>
              <w:rPr>
                <w:sz w:val="17"/>
              </w:rPr>
              <w:t>Refurbish or remanufacture</w:t>
            </w:r>
          </w:p>
        </w:tc>
        <w:tc>
          <w:tcPr>
            <w:tcW w:type="dxa" w:w="2520"/>
            <w:vAlign w:val="top"/>
          </w:tcPr>
          <w:p>
            <w:r>
              <w:rPr>
                <w:sz w:val="17"/>
              </w:rPr>
              <w:t>Can selected components and controls restore performance and evidence at lower lifecycle burden?</w:t>
            </w:r>
          </w:p>
        </w:tc>
        <w:tc>
          <w:tcPr>
            <w:tcW w:type="dxa" w:w="2520"/>
            <w:vAlign w:val="top"/>
          </w:tcPr>
          <w:p>
            <w:r>
              <w:rPr>
                <w:sz w:val="17"/>
              </w:rPr>
            </w:r>
          </w:p>
        </w:tc>
        <w:tc>
          <w:tcPr>
            <w:tcW w:type="dxa" w:w="2520"/>
            <w:vAlign w:val="top"/>
          </w:tcPr>
          <w:p>
            <w:r>
              <w:rPr>
                <w:sz w:val="17"/>
              </w:rPr>
            </w:r>
          </w:p>
        </w:tc>
      </w:tr>
      <w:tr>
        <w:tc>
          <w:tcPr>
            <w:tcW w:type="dxa" w:w="2520"/>
            <w:vAlign w:val="top"/>
            <w:shd w:fill="F2E8EB"/>
          </w:tcPr>
          <w:p>
            <w:r>
              <w:rPr>
                <w:sz w:val="17"/>
              </w:rPr>
              <w:t>Recover materials</w:t>
            </w:r>
          </w:p>
        </w:tc>
        <w:tc>
          <w:tcPr>
            <w:tcW w:type="dxa" w:w="2520"/>
            <w:vAlign w:val="top"/>
          </w:tcPr>
          <w:p>
            <w:r>
              <w:rPr>
                <w:sz w:val="17"/>
              </w:rPr>
              <w:t>Are take-back, traceability, verified recovery, and critical-material outcomes documented?</w:t>
            </w:r>
          </w:p>
        </w:tc>
        <w:tc>
          <w:tcPr>
            <w:tcW w:type="dxa" w:w="2520"/>
            <w:vAlign w:val="top"/>
          </w:tcPr>
          <w:p>
            <w:r>
              <w:rPr>
                <w:sz w:val="17"/>
              </w:rPr>
            </w:r>
          </w:p>
        </w:tc>
        <w:tc>
          <w:tcPr>
            <w:tcW w:type="dxa" w:w="2520"/>
            <w:vAlign w:val="top"/>
          </w:tcPr>
          <w:p>
            <w:r>
              <w:rPr>
                <w:sz w:val="17"/>
              </w:rPr>
            </w:r>
          </w:p>
        </w:tc>
      </w:tr>
      <w:tr>
        <w:tc>
          <w:tcPr>
            <w:tcW w:type="dxa" w:w="2520"/>
            <w:vAlign w:val="top"/>
            <w:shd w:fill="F2E8EB"/>
          </w:tcPr>
          <w:p>
            <w:r>
              <w:rPr>
                <w:sz w:val="17"/>
              </w:rPr>
              <w:t>Dispose</w:t>
            </w:r>
          </w:p>
        </w:tc>
        <w:tc>
          <w:tcPr>
            <w:tcW w:type="dxa" w:w="2520"/>
            <w:vAlign w:val="top"/>
          </w:tcPr>
          <w:p>
            <w:r>
              <w:rPr>
                <w:sz w:val="17"/>
              </w:rPr>
              <w:t>Is final disposal necessary, lawful, secure, and supported by chain of custody?</w:t>
            </w:r>
          </w:p>
        </w:tc>
        <w:tc>
          <w:tcPr>
            <w:tcW w:type="dxa" w:w="2520"/>
            <w:vAlign w:val="top"/>
          </w:tcPr>
          <w:p>
            <w:r>
              <w:rPr>
                <w:sz w:val="17"/>
              </w:rPr>
            </w:r>
          </w:p>
        </w:tc>
        <w:tc>
          <w:tcPr>
            <w:tcW w:type="dxa" w:w="2520"/>
            <w:vAlign w:val="top"/>
          </w:tcPr>
          <w:p>
            <w:r>
              <w:rPr>
                <w:sz w:val="17"/>
              </w:rPr>
            </w:r>
          </w:p>
        </w:tc>
      </w:tr>
      <w:tr>
        <w:tc>
          <w:tcPr>
            <w:tcW w:type="dxa" w:w="2520"/>
            <w:vAlign w:val="top"/>
            <w:shd w:fill="F2E8EB"/>
          </w:tcPr>
          <w:p>
            <w:r>
              <w:rPr>
                <w:sz w:val="17"/>
              </w:rPr>
              <w:t>Rebound and burden shifting</w:t>
            </w:r>
          </w:p>
        </w:tc>
        <w:tc>
          <w:tcPr>
            <w:tcW w:type="dxa" w:w="2520"/>
            <w:vAlign w:val="top"/>
          </w:tcPr>
          <w:p>
            <w:r>
              <w:rPr>
                <w:sz w:val="17"/>
              </w:rPr>
              <w:t>Could lower unit cost or greater capacity increase total use or shift burden across places, groups, or lifecycle stages?</w:t>
            </w:r>
          </w:p>
        </w:tc>
        <w:tc>
          <w:tcPr>
            <w:tcW w:type="dxa" w:w="2520"/>
            <w:vAlign w:val="top"/>
          </w:tcPr>
          <w:p>
            <w:r>
              <w:rPr>
                <w:sz w:val="17"/>
              </w:rPr>
            </w:r>
          </w:p>
        </w:tc>
        <w:tc>
          <w:tcPr>
            <w:tcW w:type="dxa" w:w="2520"/>
            <w:vAlign w:val="top"/>
          </w:tcPr>
          <w:p>
            <w:r>
              <w:rPr>
                <w:sz w:val="17"/>
              </w:rPr>
            </w:r>
          </w:p>
        </w:tc>
      </w:tr>
    </w:tbl>
    <w:p>
      <w:r/>
    </w:p>
    <w:p>
      <w:pPr>
        <w:pStyle w:val="Heading1"/>
      </w:pPr>
      <w:r>
        <w:t>Worked synthetic example</w:t>
      </w:r>
    </w:p>
    <w:p>
      <w:r>
        <w:t>This example demonstrates completion logic only. It is not an empirical finding and should not be reused as institutional evidence.</w:t>
      </w:r>
    </w:p>
    <w:tbl>
      <w:tblPr>
        <w:tblStyle w:val="TableGrid"/>
        <w:tblW w:type="auto" w:w="0"/>
        <w:jc w:val="centre"/>
        <w:tblLook w:firstColumn="1" w:firstRow="1" w:lastColumn="0" w:lastRow="0" w:noHBand="0" w:noVBand="1" w:val="04A0"/>
      </w:tblPr>
      <w:tblGrid>
        <w:gridCol w:w="2520"/>
        <w:gridCol w:w="2520"/>
        <w:gridCol w:w="2520"/>
        <w:gridCol w:w="2520"/>
      </w:tblGrid>
      <w:tr>
        <w:trPr>
          <w:tblHeader w:val="true"/>
        </w:trPr>
        <w:tc>
          <w:tcPr>
            <w:tcW w:type="dxa" w:w="2520"/>
            <w:shd w:fill="52565A"/>
          </w:tcPr>
          <w:p>
            <w:r>
              <w:rPr>
                <w:b/>
                <w:color w:val="FFFFFF"/>
                <w:sz w:val="18"/>
              </w:rPr>
              <w:t>Strategy or domain</w:t>
            </w:r>
          </w:p>
        </w:tc>
        <w:tc>
          <w:tcPr>
            <w:tcW w:type="dxa" w:w="2520"/>
            <w:shd w:fill="52565A"/>
          </w:tcPr>
          <w:p>
            <w:r>
              <w:rPr>
                <w:b/>
                <w:color w:val="FFFFFF"/>
                <w:sz w:val="18"/>
              </w:rPr>
              <w:t>Decision question and evidence</w:t>
            </w:r>
          </w:p>
        </w:tc>
        <w:tc>
          <w:tcPr>
            <w:tcW w:type="dxa" w:w="2520"/>
            <w:shd w:fill="52565A"/>
          </w:tcPr>
          <w:p>
            <w:r>
              <w:rPr>
                <w:b/>
                <w:color w:val="FFFFFF"/>
                <w:sz w:val="18"/>
              </w:rPr>
              <w:t>Expected value and burden</w:t>
            </w:r>
          </w:p>
        </w:tc>
        <w:tc>
          <w:tcPr>
            <w:tcW w:type="dxa" w:w="2520"/>
            <w:shd w:fill="52565A"/>
          </w:tcPr>
          <w:p>
            <w:r>
              <w:rPr>
                <w:b/>
                <w:color w:val="FFFFFF"/>
                <w:sz w:val="18"/>
              </w:rPr>
              <w:t>Constraint, action, owner, and measure</w:t>
            </w:r>
          </w:p>
        </w:tc>
      </w:tr>
      <w:tr>
        <w:tc>
          <w:tcPr>
            <w:tcW w:type="dxa" w:w="2520"/>
            <w:vAlign w:val="top"/>
            <w:shd w:fill="EFEFEF"/>
          </w:tcPr>
          <w:p>
            <w:r>
              <w:rPr>
                <w:sz w:val="17"/>
              </w:rPr>
              <w:t>Prevent or avoid</w:t>
            </w:r>
          </w:p>
        </w:tc>
        <w:tc>
          <w:tcPr>
            <w:tcW w:type="dxa" w:w="2520"/>
            <w:vAlign w:val="top"/>
          </w:tcPr>
          <w:p>
            <w:r>
              <w:rPr>
                <w:sz w:val="17"/>
              </w:rPr>
              <w:t>Can the service need be met without new acquisition, unnecessary computation, duplicate data, or low-value activity?</w:t>
            </w:r>
          </w:p>
        </w:tc>
        <w:tc>
          <w:tcPr>
            <w:tcW w:type="dxa" w:w="2520"/>
            <w:vAlign w:val="top"/>
          </w:tcPr>
          <w:p>
            <w:r>
              <w:rPr>
                <w:sz w:val="17"/>
              </w:rPr>
              <w:t>Potential capacity, cost, resilience, and environmental benefit; quantify before scale.</w:t>
            </w:r>
          </w:p>
        </w:tc>
        <w:tc>
          <w:tcPr>
            <w:tcW w:type="dxa" w:w="2520"/>
            <w:vAlign w:val="top"/>
          </w:tcPr>
          <w:p>
            <w:r>
              <w:rPr>
                <w:sz w:val="17"/>
              </w:rPr>
              <w:t>Clinical service lead</w:t>
            </w:r>
          </w:p>
        </w:tc>
      </w:tr>
      <w:tr>
        <w:tc>
          <w:tcPr>
            <w:tcW w:type="dxa" w:w="2520"/>
            <w:vAlign w:val="top"/>
            <w:shd w:fill="EFEFEF"/>
          </w:tcPr>
          <w:p>
            <w:r>
              <w:rPr>
                <w:sz w:val="17"/>
              </w:rPr>
              <w:t>Reduce and optimize</w:t>
            </w:r>
          </w:p>
        </w:tc>
        <w:tc>
          <w:tcPr>
            <w:tcW w:type="dxa" w:w="2520"/>
            <w:vAlign w:val="top"/>
          </w:tcPr>
          <w:p>
            <w:r>
              <w:rPr>
                <w:sz w:val="17"/>
              </w:rPr>
              <w:t>Can model, storage, data, hardware, energy, water, and material intensity be reduced per useful output?</w:t>
            </w:r>
          </w:p>
        </w:tc>
        <w:tc>
          <w:tcPr>
            <w:tcW w:type="dxa" w:w="2520"/>
            <w:vAlign w:val="top"/>
          </w:tcPr>
          <w:p>
            <w:r>
              <w:rPr>
                <w:sz w:val="17"/>
              </w:rPr>
              <w:t>Potential capacity, cost, resilience, and environmental benefit; quantify before scale.</w:t>
            </w:r>
          </w:p>
        </w:tc>
        <w:tc>
          <w:tcPr>
            <w:tcW w:type="dxa" w:w="2520"/>
            <w:vAlign w:val="top"/>
          </w:tcPr>
          <w:p>
            <w:r>
              <w:rPr>
                <w:sz w:val="17"/>
              </w:rPr>
              <w:t>Quality lead</w:t>
            </w:r>
          </w:p>
        </w:tc>
      </w:tr>
      <w:tr>
        <w:tc>
          <w:tcPr>
            <w:tcW w:type="dxa" w:w="2520"/>
            <w:vAlign w:val="top"/>
            <w:shd w:fill="EFEFEF"/>
          </w:tcPr>
          <w:p>
            <w:r>
              <w:rPr>
                <w:sz w:val="17"/>
              </w:rPr>
              <w:t>Share and intensify safe use</w:t>
            </w:r>
          </w:p>
        </w:tc>
        <w:tc>
          <w:tcPr>
            <w:tcW w:type="dxa" w:w="2520"/>
            <w:vAlign w:val="top"/>
          </w:tcPr>
          <w:p>
            <w:r>
              <w:rPr>
                <w:sz w:val="17"/>
              </w:rPr>
              <w:t>Can infrastructure, services, capacity, or assets be shared without unacceptable dependency or access effects?</w:t>
            </w:r>
          </w:p>
        </w:tc>
        <w:tc>
          <w:tcPr>
            <w:tcW w:type="dxa" w:w="2520"/>
            <w:vAlign w:val="top"/>
          </w:tcPr>
          <w:p>
            <w:r>
              <w:rPr>
                <w:sz w:val="17"/>
              </w:rPr>
              <w:t>Potential capacity, cost, resilience, and environmental benefit; quantify before scale.</w:t>
            </w:r>
          </w:p>
        </w:tc>
        <w:tc>
          <w:tcPr>
            <w:tcW w:type="dxa" w:w="2520"/>
            <w:vAlign w:val="top"/>
          </w:tcPr>
          <w:p>
            <w:r>
              <w:rPr>
                <w:sz w:val="17"/>
              </w:rPr>
              <w:t>Data steward</w:t>
            </w:r>
          </w:p>
        </w:tc>
      </w:tr>
      <w:tr>
        <w:tc>
          <w:tcPr>
            <w:tcW w:type="dxa" w:w="2520"/>
            <w:vAlign w:val="top"/>
            <w:shd w:fill="EFEFEF"/>
          </w:tcPr>
          <w:p>
            <w:r>
              <w:rPr>
                <w:sz w:val="17"/>
              </w:rPr>
              <w:t>Maintain and repair</w:t>
            </w:r>
          </w:p>
        </w:tc>
        <w:tc>
          <w:tcPr>
            <w:tcW w:type="dxa" w:w="2520"/>
            <w:vAlign w:val="top"/>
          </w:tcPr>
          <w:p>
            <w:r>
              <w:rPr>
                <w:sz w:val="17"/>
              </w:rPr>
              <w:t>Can preventive maintenance, software support, components, and repair preserve safe useful life?</w:t>
            </w:r>
          </w:p>
        </w:tc>
        <w:tc>
          <w:tcPr>
            <w:tcW w:type="dxa" w:w="2520"/>
            <w:vAlign w:val="top"/>
          </w:tcPr>
          <w:p>
            <w:r>
              <w:rPr>
                <w:sz w:val="17"/>
              </w:rPr>
              <w:t>Potential capacity, cost, resilience, and environmental benefit; quantify before scale.</w:t>
            </w:r>
          </w:p>
        </w:tc>
        <w:tc>
          <w:tcPr>
            <w:tcW w:type="dxa" w:w="2520"/>
            <w:vAlign w:val="top"/>
          </w:tcPr>
          <w:p>
            <w:r>
              <w:rPr>
                <w:sz w:val="17"/>
              </w:rPr>
              <w:t>Health economist</w:t>
            </w:r>
          </w:p>
        </w:tc>
      </w:tr>
      <w:tr>
        <w:tc>
          <w:tcPr>
            <w:tcW w:type="dxa" w:w="2520"/>
            <w:vAlign w:val="top"/>
            <w:shd w:fill="EFEFEF"/>
          </w:tcPr>
          <w:p>
            <w:r>
              <w:rPr>
                <w:sz w:val="17"/>
              </w:rPr>
              <w:t>Reuse or repurpose</w:t>
            </w:r>
          </w:p>
        </w:tc>
        <w:tc>
          <w:tcPr>
            <w:tcW w:type="dxa" w:w="2520"/>
            <w:vAlign w:val="top"/>
          </w:tcPr>
          <w:p>
            <w:r>
              <w:rPr>
                <w:sz w:val="17"/>
              </w:rPr>
              <w:t>Can the asset or component serve a verified use after data erasure, validation, and recipient due diligence?</w:t>
            </w:r>
          </w:p>
        </w:tc>
        <w:tc>
          <w:tcPr>
            <w:tcW w:type="dxa" w:w="2520"/>
            <w:vAlign w:val="top"/>
          </w:tcPr>
          <w:p>
            <w:r>
              <w:rPr>
                <w:sz w:val="17"/>
              </w:rPr>
              <w:t>Potential capacity, cost, resilience, and environmental benefit; quantify before scale.</w:t>
            </w:r>
          </w:p>
        </w:tc>
        <w:tc>
          <w:tcPr>
            <w:tcW w:type="dxa" w:w="2520"/>
            <w:vAlign w:val="top"/>
          </w:tcPr>
          <w:p>
            <w:r>
              <w:rPr>
                <w:sz w:val="17"/>
              </w:rPr>
              <w:t>Procurement lead</w:t>
            </w:r>
          </w:p>
        </w:tc>
      </w:tr>
      <w:tr>
        <w:tc>
          <w:tcPr>
            <w:tcW w:type="dxa" w:w="2520"/>
            <w:vAlign w:val="top"/>
            <w:shd w:fill="EFEFEF"/>
          </w:tcPr>
          <w:p>
            <w:r>
              <w:rPr>
                <w:sz w:val="17"/>
              </w:rPr>
              <w:t>Refurbish or remanufacture</w:t>
            </w:r>
          </w:p>
        </w:tc>
        <w:tc>
          <w:tcPr>
            <w:tcW w:type="dxa" w:w="2520"/>
            <w:vAlign w:val="top"/>
          </w:tcPr>
          <w:p>
            <w:r>
              <w:rPr>
                <w:sz w:val="17"/>
              </w:rPr>
              <w:t>Can selected components and controls restore performance and evidence at lower lifecycle burden?</w:t>
            </w:r>
          </w:p>
        </w:tc>
        <w:tc>
          <w:tcPr>
            <w:tcW w:type="dxa" w:w="2520"/>
            <w:vAlign w:val="top"/>
          </w:tcPr>
          <w:p>
            <w:r>
              <w:rPr>
                <w:sz w:val="17"/>
              </w:rPr>
              <w:t>Potential capacity, cost, resilience, and environmental benefit; quantify before scale.</w:t>
            </w:r>
          </w:p>
        </w:tc>
        <w:tc>
          <w:tcPr>
            <w:tcW w:type="dxa" w:w="2520"/>
            <w:vAlign w:val="top"/>
          </w:tcPr>
          <w:p>
            <w:r>
              <w:rPr>
                <w:sz w:val="17"/>
              </w:rPr>
              <w:t>Clinical service lead</w:t>
            </w:r>
          </w:p>
        </w:tc>
      </w:tr>
      <w:tr>
        <w:tc>
          <w:tcPr>
            <w:tcW w:type="dxa" w:w="2520"/>
            <w:vAlign w:val="top"/>
            <w:shd w:fill="EFEFEF"/>
          </w:tcPr>
          <w:p>
            <w:r>
              <w:rPr>
                <w:sz w:val="17"/>
              </w:rPr>
              <w:t>Recover materials</w:t>
            </w:r>
          </w:p>
        </w:tc>
        <w:tc>
          <w:tcPr>
            <w:tcW w:type="dxa" w:w="2520"/>
            <w:vAlign w:val="top"/>
          </w:tcPr>
          <w:p>
            <w:r>
              <w:rPr>
                <w:sz w:val="17"/>
              </w:rPr>
              <w:t>Are take-back, traceability, verified recovery, and critical-material outcomes documented?</w:t>
            </w:r>
          </w:p>
        </w:tc>
        <w:tc>
          <w:tcPr>
            <w:tcW w:type="dxa" w:w="2520"/>
            <w:vAlign w:val="top"/>
          </w:tcPr>
          <w:p>
            <w:r>
              <w:rPr>
                <w:sz w:val="17"/>
              </w:rPr>
              <w:t>Potential capacity, cost, resilience, and environmental benefit; quantify before scale.</w:t>
            </w:r>
          </w:p>
        </w:tc>
        <w:tc>
          <w:tcPr>
            <w:tcW w:type="dxa" w:w="2520"/>
            <w:vAlign w:val="top"/>
          </w:tcPr>
          <w:p>
            <w:r>
              <w:rPr>
                <w:sz w:val="17"/>
              </w:rPr>
              <w:t>Quality lead</w:t>
            </w:r>
          </w:p>
        </w:tc>
      </w:tr>
      <w:tr>
        <w:tc>
          <w:tcPr>
            <w:tcW w:type="dxa" w:w="2520"/>
            <w:vAlign w:val="top"/>
            <w:shd w:fill="EFEFEF"/>
          </w:tcPr>
          <w:p>
            <w:r>
              <w:rPr>
                <w:sz w:val="17"/>
              </w:rPr>
              <w:t>Dispose</w:t>
            </w:r>
          </w:p>
        </w:tc>
        <w:tc>
          <w:tcPr>
            <w:tcW w:type="dxa" w:w="2520"/>
            <w:vAlign w:val="top"/>
          </w:tcPr>
          <w:p>
            <w:r>
              <w:rPr>
                <w:sz w:val="17"/>
              </w:rPr>
              <w:t>Is final disposal necessary, lawful, secure, and supported by chain of custody?</w:t>
            </w:r>
          </w:p>
        </w:tc>
        <w:tc>
          <w:tcPr>
            <w:tcW w:type="dxa" w:w="2520"/>
            <w:vAlign w:val="top"/>
          </w:tcPr>
          <w:p>
            <w:r>
              <w:rPr>
                <w:sz w:val="17"/>
              </w:rPr>
              <w:t>Potential capacity, cost, resilience, and environmental benefit; quantify before scale.</w:t>
            </w:r>
          </w:p>
        </w:tc>
        <w:tc>
          <w:tcPr>
            <w:tcW w:type="dxa" w:w="2520"/>
            <w:vAlign w:val="top"/>
          </w:tcPr>
          <w:p>
            <w:r>
              <w:rPr>
                <w:sz w:val="17"/>
              </w:rPr>
              <w:t>Data steward</w:t>
            </w:r>
          </w:p>
        </w:tc>
      </w:tr>
      <w:tr>
        <w:tc>
          <w:tcPr>
            <w:tcW w:type="dxa" w:w="2520"/>
            <w:vAlign w:val="top"/>
            <w:shd w:fill="EFEFEF"/>
          </w:tcPr>
          <w:p>
            <w:r>
              <w:rPr>
                <w:sz w:val="17"/>
              </w:rPr>
              <w:t>Rebound and burden shifting</w:t>
            </w:r>
          </w:p>
        </w:tc>
        <w:tc>
          <w:tcPr>
            <w:tcW w:type="dxa" w:w="2520"/>
            <w:vAlign w:val="top"/>
          </w:tcPr>
          <w:p>
            <w:r>
              <w:rPr>
                <w:sz w:val="17"/>
              </w:rPr>
              <w:t>Could lower unit cost or greater capacity increase total use or shift burden across places, groups, or lifecycle stages?</w:t>
            </w:r>
          </w:p>
        </w:tc>
        <w:tc>
          <w:tcPr>
            <w:tcW w:type="dxa" w:w="2520"/>
            <w:vAlign w:val="top"/>
          </w:tcPr>
          <w:p>
            <w:r>
              <w:rPr>
                <w:sz w:val="17"/>
              </w:rPr>
              <w:t>Potential capacity, cost, resilience, and environmental benefit; quantify before scale.</w:t>
            </w:r>
          </w:p>
        </w:tc>
        <w:tc>
          <w:tcPr>
            <w:tcW w:type="dxa" w:w="2520"/>
            <w:vAlign w:val="top"/>
          </w:tcPr>
          <w:p>
            <w:r>
              <w:rPr>
                <w:sz w:val="17"/>
              </w:rPr>
              <w:t>Health economist</w:t>
            </w:r>
          </w:p>
        </w:tc>
      </w:tr>
    </w:tbl>
    <w:sectPr w:rsidR="00FC693F" w:rsidRPr="0006063C" w:rsidSect="00034616">
      <w:footerReference w:type="default" r:id="rId9"/>
      <w:head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AIHE-E01 template and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