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Circularity-Adjusted Evaluation Record</w:t>
      </w:r>
    </w:p>
    <w:p>
      <w:pPr>
        <w:jc w:val="centre"/>
      </w:pPr>
      <w:r>
        <w:rPr>
          <w:b/>
          <w:color w:val="7A2334"/>
        </w:rPr>
        <w:t>AIHE-E04</w:t>
      </w:r>
    </w:p>
    <w:p>
      <w:pPr>
        <w:spacing w:after="40"/>
      </w:pPr>
      <w:r>
        <w:rPr>
          <w:b/>
        </w:rPr>
        <w:t xml:space="preserve">Primary chapter: </w:t>
      </w:r>
      <w:r>
        <w:t>15 — Circularity-Adjusted Evaluation and Sustainable Value</w:t>
      </w:r>
    </w:p>
    <w:p>
      <w:pPr>
        <w:spacing w:after="40"/>
      </w:pPr>
      <w:r>
        <w:rPr>
          <w:b/>
        </w:rPr>
        <w:t xml:space="preserve">Additional chapter alignment: </w:t>
      </w:r>
      <w:r>
        <w:t>15</w:t>
      </w:r>
    </w:p>
    <w:p>
      <w:pPr>
        <w:spacing w:after="40"/>
      </w:pPr>
      <w:r>
        <w:rPr>
          <w:b/>
        </w:rPr>
        <w:t xml:space="preserve">Legacy aliases: </w:t>
      </w:r>
      <w:r>
        <w:t>AIHE-CE6</w:t>
      </w:r>
    </w:p>
    <w:p>
      <w:pPr>
        <w:spacing w:after="40"/>
      </w:pPr>
      <w:r>
        <w:rPr>
          <w:b/>
        </w:rPr>
        <w:t xml:space="preserve">Version: </w:t>
      </w:r>
      <w:r>
        <w:t>V1.0</w:t>
      </w:r>
    </w:p>
    <w:p>
      <w:pPr>
        <w:pStyle w:val="Heading1"/>
      </w:pPr>
      <w:r>
        <w:t>Purpose</w:t>
      </w:r>
    </w:p>
    <w:p>
      <w:r>
        <w:t>Extend conventional economic evaluation with environmental, material, residual-value, resilience, equity, rebound, and burden evidence.</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Decision, comparator, and functional unit</w:t>
            </w:r>
          </w:p>
        </w:tc>
        <w:tc>
          <w:tcPr>
            <w:tcW w:type="dxa" w:w="3360"/>
            <w:vAlign w:val="top"/>
          </w:tcPr>
          <w:p>
            <w:r>
              <w:rPr>
                <w:sz w:val="17"/>
              </w:rPr>
              <w:t>Define the service delivered, population, quality level, volume, and time horizon.</w:t>
            </w:r>
          </w:p>
        </w:tc>
        <w:tc>
          <w:tcPr>
            <w:tcW w:type="dxa" w:w="3360"/>
            <w:vAlign w:val="top"/>
          </w:tcPr>
          <w:p>
            <w:r>
              <w:rPr>
                <w:sz w:val="17"/>
              </w:rPr>
            </w:r>
          </w:p>
        </w:tc>
      </w:tr>
      <w:tr>
        <w:tc>
          <w:tcPr>
            <w:tcW w:type="dxa" w:w="3360"/>
            <w:vAlign w:val="top"/>
            <w:shd w:fill="F2E8EB"/>
          </w:tcPr>
          <w:p>
            <w:r>
              <w:rPr>
                <w:sz w:val="17"/>
              </w:rPr>
              <w:t>System boundary</w:t>
            </w:r>
          </w:p>
        </w:tc>
        <w:tc>
          <w:tcPr>
            <w:tcW w:type="dxa" w:w="3360"/>
            <w:vAlign w:val="top"/>
          </w:tcPr>
          <w:p>
            <w:r>
              <w:rPr>
                <w:sz w:val="17"/>
              </w:rPr>
              <w:t>Specify model, data, compute, network, devices, supporting equipment, maintenance, replacement, transport, and disposition included.</w:t>
            </w:r>
          </w:p>
        </w:tc>
        <w:tc>
          <w:tcPr>
            <w:tcW w:type="dxa" w:w="3360"/>
            <w:vAlign w:val="top"/>
          </w:tcPr>
          <w:p>
            <w:r>
              <w:rPr>
                <w:sz w:val="17"/>
              </w:rPr>
            </w:r>
          </w:p>
        </w:tc>
      </w:tr>
      <w:tr>
        <w:tc>
          <w:tcPr>
            <w:tcW w:type="dxa" w:w="3360"/>
            <w:vAlign w:val="top"/>
            <w:shd w:fill="F2E8EB"/>
          </w:tcPr>
          <w:p>
            <w:r>
              <w:rPr>
                <w:sz w:val="17"/>
              </w:rPr>
              <w:t>Conventional outcomes and lifecycle cost</w:t>
            </w:r>
          </w:p>
        </w:tc>
        <w:tc>
          <w:tcPr>
            <w:tcW w:type="dxa" w:w="3360"/>
            <w:vAlign w:val="top"/>
          </w:tcPr>
          <w:p>
            <w:r>
              <w:rPr>
                <w:sz w:val="17"/>
              </w:rPr>
              <w:t>Report health, service, workforce, quality, and economic outcomes before circular adjustments.</w:t>
            </w:r>
          </w:p>
        </w:tc>
        <w:tc>
          <w:tcPr>
            <w:tcW w:type="dxa" w:w="3360"/>
            <w:vAlign w:val="top"/>
          </w:tcPr>
          <w:p>
            <w:r>
              <w:rPr>
                <w:sz w:val="17"/>
              </w:rPr>
            </w:r>
          </w:p>
        </w:tc>
      </w:tr>
      <w:tr>
        <w:tc>
          <w:tcPr>
            <w:tcW w:type="dxa" w:w="3360"/>
            <w:vAlign w:val="top"/>
            <w:shd w:fill="F2E8EB"/>
          </w:tcPr>
          <w:p>
            <w:r>
              <w:rPr>
                <w:sz w:val="17"/>
              </w:rPr>
              <w:t>Environmental and material effects</w:t>
            </w:r>
          </w:p>
        </w:tc>
        <w:tc>
          <w:tcPr>
            <w:tcW w:type="dxa" w:w="3360"/>
            <w:vAlign w:val="top"/>
          </w:tcPr>
          <w:p>
            <w:r>
              <w:rPr>
                <w:sz w:val="17"/>
              </w:rPr>
              <w:t>Report energy, water, carbon, virgin and recovered material, waste, and critical dependencies per functional unit.</w:t>
            </w:r>
          </w:p>
        </w:tc>
        <w:tc>
          <w:tcPr>
            <w:tcW w:type="dxa" w:w="3360"/>
            <w:vAlign w:val="top"/>
          </w:tcPr>
          <w:p>
            <w:r>
              <w:rPr>
                <w:sz w:val="17"/>
              </w:rPr>
            </w:r>
          </w:p>
        </w:tc>
      </w:tr>
      <w:tr>
        <w:tc>
          <w:tcPr>
            <w:tcW w:type="dxa" w:w="3360"/>
            <w:vAlign w:val="top"/>
            <w:shd w:fill="F2E8EB"/>
          </w:tcPr>
          <w:p>
            <w:r>
              <w:rPr>
                <w:sz w:val="17"/>
              </w:rPr>
              <w:t>Residual and recovered value</w:t>
            </w:r>
          </w:p>
        </w:tc>
        <w:tc>
          <w:tcPr>
            <w:tcW w:type="dxa" w:w="3360"/>
            <w:vAlign w:val="top"/>
          </w:tcPr>
          <w:p>
            <w:r>
              <w:rPr>
                <w:sz w:val="17"/>
              </w:rPr>
              <w:t>Record useful remaining life, resale, redeployment, take-back, recovery credit, and realization cost.</w:t>
            </w:r>
          </w:p>
        </w:tc>
        <w:tc>
          <w:tcPr>
            <w:tcW w:type="dxa" w:w="3360"/>
            <w:vAlign w:val="top"/>
          </w:tcPr>
          <w:p>
            <w:r>
              <w:rPr>
                <w:sz w:val="17"/>
              </w:rPr>
            </w:r>
          </w:p>
        </w:tc>
      </w:tr>
      <w:tr>
        <w:tc>
          <w:tcPr>
            <w:tcW w:type="dxa" w:w="3360"/>
            <w:vAlign w:val="top"/>
            <w:shd w:fill="F2E8EB"/>
          </w:tcPr>
          <w:p>
            <w:r>
              <w:rPr>
                <w:sz w:val="17"/>
              </w:rPr>
              <w:t>Resilience and supply-chain value</w:t>
            </w:r>
          </w:p>
        </w:tc>
        <w:tc>
          <w:tcPr>
            <w:tcW w:type="dxa" w:w="3360"/>
            <w:vAlign w:val="top"/>
          </w:tcPr>
          <w:p>
            <w:r>
              <w:rPr>
                <w:sz w:val="17"/>
              </w:rPr>
              <w:t>Record redundancy, availability, lead time, dependency, repair capacity, and continuity effects.</w:t>
            </w:r>
          </w:p>
        </w:tc>
        <w:tc>
          <w:tcPr>
            <w:tcW w:type="dxa" w:w="3360"/>
            <w:vAlign w:val="top"/>
          </w:tcPr>
          <w:p>
            <w:r>
              <w:rPr>
                <w:sz w:val="17"/>
              </w:rPr>
            </w:r>
          </w:p>
        </w:tc>
      </w:tr>
      <w:tr>
        <w:tc>
          <w:tcPr>
            <w:tcW w:type="dxa" w:w="3360"/>
            <w:vAlign w:val="top"/>
            <w:shd w:fill="F2E8EB"/>
          </w:tcPr>
          <w:p>
            <w:r>
              <w:rPr>
                <w:sz w:val="17"/>
              </w:rPr>
              <w:t>Equity and burden distribution</w:t>
            </w:r>
          </w:p>
        </w:tc>
        <w:tc>
          <w:tcPr>
            <w:tcW w:type="dxa" w:w="3360"/>
            <w:vAlign w:val="top"/>
          </w:tcPr>
          <w:p>
            <w:r>
              <w:rPr>
                <w:sz w:val="17"/>
              </w:rPr>
              <w:t>Identify who benefits, who bears environmental and labor burdens, and which regions or groups are affected.</w:t>
            </w:r>
          </w:p>
        </w:tc>
        <w:tc>
          <w:tcPr>
            <w:tcW w:type="dxa" w:w="3360"/>
            <w:vAlign w:val="top"/>
          </w:tcPr>
          <w:p>
            <w:r>
              <w:rPr>
                <w:sz w:val="17"/>
              </w:rPr>
            </w:r>
          </w:p>
        </w:tc>
      </w:tr>
      <w:tr>
        <w:tc>
          <w:tcPr>
            <w:tcW w:type="dxa" w:w="3360"/>
            <w:vAlign w:val="top"/>
            <w:shd w:fill="F2E8EB"/>
          </w:tcPr>
          <w:p>
            <w:r>
              <w:rPr>
                <w:sz w:val="17"/>
              </w:rPr>
              <w:t>Monetization and double-counting check</w:t>
            </w:r>
          </w:p>
        </w:tc>
        <w:tc>
          <w:tcPr>
            <w:tcW w:type="dxa" w:w="3360"/>
            <w:vAlign w:val="top"/>
          </w:tcPr>
          <w:p>
            <w:r>
              <w:rPr>
                <w:sz w:val="17"/>
              </w:rPr>
              <w:t>Explain which effects are monetized, which remain disaggregated, valuation sources, and overlap with conventional costs or outcomes.</w:t>
            </w:r>
          </w:p>
        </w:tc>
        <w:tc>
          <w:tcPr>
            <w:tcW w:type="dxa" w:w="3360"/>
            <w:vAlign w:val="top"/>
          </w:tcPr>
          <w:p>
            <w:r>
              <w:rPr>
                <w:sz w:val="17"/>
              </w:rPr>
            </w:r>
          </w:p>
        </w:tc>
      </w:tr>
      <w:tr>
        <w:tc>
          <w:tcPr>
            <w:tcW w:type="dxa" w:w="3360"/>
            <w:vAlign w:val="top"/>
            <w:shd w:fill="F2E8EB"/>
          </w:tcPr>
          <w:p>
            <w:r>
              <w:rPr>
                <w:sz w:val="17"/>
              </w:rPr>
              <w:t>Uncertainty and rebound</w:t>
            </w:r>
          </w:p>
        </w:tc>
        <w:tc>
          <w:tcPr>
            <w:tcW w:type="dxa" w:w="3360"/>
            <w:vAlign w:val="top"/>
          </w:tcPr>
          <w:p>
            <w:r>
              <w:rPr>
                <w:sz w:val="17"/>
              </w:rPr>
              <w:t>Test use, lifetime, performance, prices, disposal, recovery, environmental factors, and induced demand.</w:t>
            </w:r>
          </w:p>
        </w:tc>
        <w:tc>
          <w:tcPr>
            <w:tcW w:type="dxa" w:w="3360"/>
            <w:vAlign w:val="top"/>
          </w:tcPr>
          <w:p>
            <w:r>
              <w:rPr>
                <w:sz w:val="17"/>
              </w:rPr>
            </w:r>
          </w:p>
        </w:tc>
      </w:tr>
      <w:tr>
        <w:tc>
          <w:tcPr>
            <w:tcW w:type="dxa" w:w="3360"/>
            <w:vAlign w:val="top"/>
            <w:shd w:fill="F2E8EB"/>
          </w:tcPr>
          <w:p>
            <w:r>
              <w:rPr>
                <w:sz w:val="17"/>
              </w:rPr>
              <w:t>Decision and safeguards</w:t>
            </w:r>
          </w:p>
        </w:tc>
        <w:tc>
          <w:tcPr>
            <w:tcW w:type="dxa" w:w="3360"/>
            <w:vAlign w:val="top"/>
          </w:tcPr>
          <w:p>
            <w:r>
              <w:rPr>
                <w:sz w:val="17"/>
              </w:rPr>
              <w:t>State conventional and adjusted results, non-compensatory constraints, preferred option, conditions, and review triggers.</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Decision, comparator, and functional unit</w:t>
            </w:r>
          </w:p>
        </w:tc>
        <w:tc>
          <w:tcPr>
            <w:tcW w:type="dxa" w:w="3360"/>
            <w:vAlign w:val="top"/>
          </w:tcPr>
          <w:p>
            <w:r>
              <w:rPr>
                <w:sz w:val="17"/>
              </w:rPr>
              <w:t>Define the service delivered, population, quality level, volume, and time horizon.</w:t>
            </w:r>
          </w:p>
        </w:tc>
        <w:tc>
          <w:tcPr>
            <w:tcW w:type="dxa" w:w="3360"/>
            <w:vAlign w:val="top"/>
          </w:tcPr>
          <w:p>
            <w:r>
              <w:rPr>
                <w:sz w:val="17"/>
              </w:rPr>
              <w:t>Compare edge and cloud diagnostic AI per 1,000 quality-assured examinations over five years.</w:t>
            </w:r>
          </w:p>
        </w:tc>
      </w:tr>
      <w:tr>
        <w:tc>
          <w:tcPr>
            <w:tcW w:type="dxa" w:w="3360"/>
            <w:vAlign w:val="top"/>
            <w:shd w:fill="EFEFEF"/>
          </w:tcPr>
          <w:p>
            <w:r>
              <w:rPr>
                <w:sz w:val="17"/>
              </w:rPr>
              <w:t>System boundary</w:t>
            </w:r>
          </w:p>
        </w:tc>
        <w:tc>
          <w:tcPr>
            <w:tcW w:type="dxa" w:w="3360"/>
            <w:vAlign w:val="top"/>
          </w:tcPr>
          <w:p>
            <w:r>
              <w:rPr>
                <w:sz w:val="17"/>
              </w:rPr>
              <w:t>Specify model, data, compute, network, devices, supporting equipment, maintenance, replacement, transport, and disposition included.</w:t>
            </w:r>
          </w:p>
        </w:tc>
        <w:tc>
          <w:tcPr>
            <w:tcW w:type="dxa" w:w="3360"/>
            <w:vAlign w:val="top"/>
          </w:tcPr>
          <w:p>
            <w:r>
              <w:rPr>
                <w:sz w:val="17"/>
              </w:rPr>
              <w:t>Model, data transfer, compute, storage, network, edge hardware, cooling, maintenance, replacement, transport, and disposition.</w:t>
            </w:r>
          </w:p>
        </w:tc>
      </w:tr>
      <w:tr>
        <w:tc>
          <w:tcPr>
            <w:tcW w:type="dxa" w:w="3360"/>
            <w:vAlign w:val="top"/>
            <w:shd w:fill="EFEFEF"/>
          </w:tcPr>
          <w:p>
            <w:r>
              <w:rPr>
                <w:sz w:val="17"/>
              </w:rPr>
              <w:t>Conventional outcomes and lifecycle cost</w:t>
            </w:r>
          </w:p>
        </w:tc>
        <w:tc>
          <w:tcPr>
            <w:tcW w:type="dxa" w:w="3360"/>
            <w:vAlign w:val="top"/>
          </w:tcPr>
          <w:p>
            <w:r>
              <w:rPr>
                <w:sz w:val="17"/>
              </w:rPr>
              <w:t>Report health, service, workforce, quality, and economic outcomes before circular adjustments.</w:t>
            </w:r>
          </w:p>
        </w:tc>
        <w:tc>
          <w:tcPr>
            <w:tcW w:type="dxa" w:w="3360"/>
            <w:vAlign w:val="top"/>
          </w:tcPr>
          <w:p>
            <w:r>
              <w:rPr>
                <w:sz w:val="17"/>
              </w:rPr>
              <w:t>Report diagnostic outcomes, turnaround, staff time, downtime, integration, monitoring, and five-year cost.</w:t>
            </w:r>
          </w:p>
        </w:tc>
      </w:tr>
      <w:tr>
        <w:tc>
          <w:tcPr>
            <w:tcW w:type="dxa" w:w="3360"/>
            <w:vAlign w:val="top"/>
            <w:shd w:fill="EFEFEF"/>
          </w:tcPr>
          <w:p>
            <w:r>
              <w:rPr>
                <w:sz w:val="17"/>
              </w:rPr>
              <w:t>Environmental and material effects</w:t>
            </w:r>
          </w:p>
        </w:tc>
        <w:tc>
          <w:tcPr>
            <w:tcW w:type="dxa" w:w="3360"/>
            <w:vAlign w:val="top"/>
          </w:tcPr>
          <w:p>
            <w:r>
              <w:rPr>
                <w:sz w:val="17"/>
              </w:rPr>
              <w:t>Report energy, water, carbon, virgin and recovered material, waste, and critical dependencies per functional unit.</w:t>
            </w:r>
          </w:p>
        </w:tc>
        <w:tc>
          <w:tcPr>
            <w:tcW w:type="dxa" w:w="3360"/>
            <w:vAlign w:val="top"/>
          </w:tcPr>
          <w:p>
            <w:r>
              <w:rPr>
                <w:sz w:val="17"/>
              </w:rPr>
              <w:t>Report kWh, water, kg CO2e, hardware mass, critical materials, and waste per 1,000 examinations.</w:t>
            </w:r>
          </w:p>
        </w:tc>
      </w:tr>
      <w:tr>
        <w:tc>
          <w:tcPr>
            <w:tcW w:type="dxa" w:w="3360"/>
            <w:vAlign w:val="top"/>
            <w:shd w:fill="EFEFEF"/>
          </w:tcPr>
          <w:p>
            <w:r>
              <w:rPr>
                <w:sz w:val="17"/>
              </w:rPr>
              <w:t>Residual and recovered value</w:t>
            </w:r>
          </w:p>
        </w:tc>
        <w:tc>
          <w:tcPr>
            <w:tcW w:type="dxa" w:w="3360"/>
            <w:vAlign w:val="top"/>
          </w:tcPr>
          <w:p>
            <w:r>
              <w:rPr>
                <w:sz w:val="17"/>
              </w:rPr>
              <w:t>Record useful remaining life, resale, redeployment, take-back, recovery credit, and realization cost.</w:t>
            </w:r>
          </w:p>
        </w:tc>
        <w:tc>
          <w:tcPr>
            <w:tcW w:type="dxa" w:w="3360"/>
            <w:vAlign w:val="top"/>
          </w:tcPr>
          <w:p>
            <w:r>
              <w:rPr>
                <w:sz w:val="17"/>
              </w:rPr>
              <w:t>Record redeployment value, take-back credit, secure-erasure cost, and verified recovery.</w:t>
            </w:r>
          </w:p>
        </w:tc>
      </w:tr>
      <w:tr>
        <w:tc>
          <w:tcPr>
            <w:tcW w:type="dxa" w:w="3360"/>
            <w:vAlign w:val="top"/>
            <w:shd w:fill="EFEFEF"/>
          </w:tcPr>
          <w:p>
            <w:r>
              <w:rPr>
                <w:sz w:val="17"/>
              </w:rPr>
              <w:t>Resilience and supply-chain value</w:t>
            </w:r>
          </w:p>
        </w:tc>
        <w:tc>
          <w:tcPr>
            <w:tcW w:type="dxa" w:w="3360"/>
            <w:vAlign w:val="top"/>
          </w:tcPr>
          <w:p>
            <w:r>
              <w:rPr>
                <w:sz w:val="17"/>
              </w:rPr>
              <w:t>Record redundancy, availability, lead time, dependency, repair capacity, and continuity effects.</w:t>
            </w:r>
          </w:p>
        </w:tc>
        <w:tc>
          <w:tcPr>
            <w:tcW w:type="dxa" w:w="3360"/>
            <w:vAlign w:val="top"/>
          </w:tcPr>
          <w:p>
            <w:r>
              <w:rPr>
                <w:sz w:val="17"/>
              </w:rPr>
              <w:t>Assess connectivity dependence, fallback, repair lead time, parts, and continuity.</w:t>
            </w:r>
          </w:p>
        </w:tc>
      </w:tr>
      <w:tr>
        <w:tc>
          <w:tcPr>
            <w:tcW w:type="dxa" w:w="3360"/>
            <w:vAlign w:val="top"/>
            <w:shd w:fill="EFEFEF"/>
          </w:tcPr>
          <w:p>
            <w:r>
              <w:rPr>
                <w:sz w:val="17"/>
              </w:rPr>
              <w:t>Equity and burden distribution</w:t>
            </w:r>
          </w:p>
        </w:tc>
        <w:tc>
          <w:tcPr>
            <w:tcW w:type="dxa" w:w="3360"/>
            <w:vAlign w:val="top"/>
          </w:tcPr>
          <w:p>
            <w:r>
              <w:rPr>
                <w:sz w:val="17"/>
              </w:rPr>
              <w:t>Identify who benefits, who bears environmental and labor burdens, and which regions or groups are affected.</w:t>
            </w:r>
          </w:p>
        </w:tc>
        <w:tc>
          <w:tcPr>
            <w:tcW w:type="dxa" w:w="3360"/>
            <w:vAlign w:val="top"/>
          </w:tcPr>
          <w:p>
            <w:r>
              <w:rPr>
                <w:sz w:val="17"/>
              </w:rPr>
              <w:t>Assess access and geographic distribution of energy, water, labor, and end-of-life burden.</w:t>
            </w:r>
          </w:p>
        </w:tc>
      </w:tr>
      <w:tr>
        <w:tc>
          <w:tcPr>
            <w:tcW w:type="dxa" w:w="3360"/>
            <w:vAlign w:val="top"/>
            <w:shd w:fill="EFEFEF"/>
          </w:tcPr>
          <w:p>
            <w:r>
              <w:rPr>
                <w:sz w:val="17"/>
              </w:rPr>
              <w:t>Monetization and double-counting check</w:t>
            </w:r>
          </w:p>
        </w:tc>
        <w:tc>
          <w:tcPr>
            <w:tcW w:type="dxa" w:w="3360"/>
            <w:vAlign w:val="top"/>
          </w:tcPr>
          <w:p>
            <w:r>
              <w:rPr>
                <w:sz w:val="17"/>
              </w:rPr>
              <w:t>Explain which effects are monetized, which remain disaggregated, valuation sources, and overlap with conventional costs or outcomes.</w:t>
            </w:r>
          </w:p>
        </w:tc>
        <w:tc>
          <w:tcPr>
            <w:tcW w:type="dxa" w:w="3360"/>
            <w:vAlign w:val="top"/>
          </w:tcPr>
          <w:p>
            <w:r>
              <w:rPr>
                <w:sz w:val="17"/>
              </w:rPr>
              <w:t>Monetize verified energy and carbon only; report other effects separately; avoid duplicate residual value.</w:t>
            </w:r>
          </w:p>
        </w:tc>
      </w:tr>
      <w:tr>
        <w:tc>
          <w:tcPr>
            <w:tcW w:type="dxa" w:w="3360"/>
            <w:vAlign w:val="top"/>
            <w:shd w:fill="EFEFEF"/>
          </w:tcPr>
          <w:p>
            <w:r>
              <w:rPr>
                <w:sz w:val="17"/>
              </w:rPr>
              <w:t>Uncertainty and rebound</w:t>
            </w:r>
          </w:p>
        </w:tc>
        <w:tc>
          <w:tcPr>
            <w:tcW w:type="dxa" w:w="3360"/>
            <w:vAlign w:val="top"/>
          </w:tcPr>
          <w:p>
            <w:r>
              <w:rPr>
                <w:sz w:val="17"/>
              </w:rPr>
              <w:t>Test use, lifetime, performance, prices, disposal, recovery, environmental factors, and induced demand.</w:t>
            </w:r>
          </w:p>
        </w:tc>
        <w:tc>
          <w:tcPr>
            <w:tcW w:type="dxa" w:w="3360"/>
            <w:vAlign w:val="top"/>
          </w:tcPr>
          <w:p>
            <w:r>
              <w:rPr>
                <w:sz w:val="17"/>
              </w:rPr>
              <w:t>Test utilization, model size, hardware life, cloud price, energy mix, recovery rate, and induced demand.</w:t>
            </w:r>
          </w:p>
        </w:tc>
      </w:tr>
      <w:tr>
        <w:tc>
          <w:tcPr>
            <w:tcW w:type="dxa" w:w="3360"/>
            <w:vAlign w:val="top"/>
            <w:shd w:fill="EFEFEF"/>
          </w:tcPr>
          <w:p>
            <w:r>
              <w:rPr>
                <w:sz w:val="17"/>
              </w:rPr>
              <w:t>Decision and safeguards</w:t>
            </w:r>
          </w:p>
        </w:tc>
        <w:tc>
          <w:tcPr>
            <w:tcW w:type="dxa" w:w="3360"/>
            <w:vAlign w:val="top"/>
          </w:tcPr>
          <w:p>
            <w:r>
              <w:rPr>
                <w:sz w:val="17"/>
              </w:rPr>
              <w:t>State conventional and adjusted results, non-compensatory constraints, preferred option, conditions, and review triggers.</w:t>
            </w:r>
          </w:p>
        </w:tc>
        <w:tc>
          <w:tcPr>
            <w:tcW w:type="dxa" w:w="3360"/>
            <w:vAlign w:val="top"/>
          </w:tcPr>
          <w:p>
            <w:r>
              <w:rPr>
                <w:sz w:val="17"/>
              </w:rPr>
              <w:t>Prefer robust total value subject to safety, security, continuity, equity, and verified disposition safeguards.</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AIHE-E04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