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AIHE-CE6 — Circularity-Adjusted Evaluation Record</w:t>
      </w:r>
    </w:p>
    <w:p>
      <w:r>
        <w:rPr>
          <w:b/>
        </w:rPr>
        <w:t xml:space="preserve">Current digital location: </w:t>
      </w:r>
      <w:r>
        <w:t>Resource Set E — Circular Economy and Sustainable Value</w:t>
      </w:r>
    </w:p>
    <w:p>
      <w:r>
        <w:rPr>
          <w:b/>
        </w:rPr>
        <w:t xml:space="preserve">Related book chapters: </w:t>
      </w:r>
      <w:r>
        <w:t>Chapter 6: Lifecycle Cost, Pricing, and Benefit Realization; Chapter 7: Economic Evaluation, Affordability, and HTA; Chapter 8: Decision Modelling and Simulation Under Uncertainty; Chapter 15: Circularity-Adjusted Evaluation and Sustainable Value</w:t>
      </w:r>
    </w:p>
    <w:p>
      <w:r>
        <w:t>Version: 6.0.0 | aligned to the fifteen-chapter reference edition and Resource Sets A–E</w:t>
      </w:r>
    </w:p>
    <w:p>
      <w:r>
        <w:rPr>
          <w:b/>
        </w:rPr>
        <w:t xml:space="preserve">Purpose. </w:t>
      </w:r>
      <w:r>
        <w:t>Specify a common functional unit and boundary; integrate clinical, lifecycle-cost, environmental, residual-value, resilience, equity, rebound, and uncertainty evidence without arbitrary monetization or double counting.</w:t>
      </w:r>
    </w:p>
    <w:p>
      <w:r>
        <w:rPr>
          <w:b/>
        </w:rPr>
        <w:t xml:space="preserve">Use note. </w:t>
      </w:r>
      <w:r>
        <w:t>Use this as a versioned institutional record. Adapt it to local law, policy, clinical practice, health-technology-assessment, information security, procurement, environmental, and governance requirements. Do not enter identifiable patient data, confidential contracts, credentials, or private keys into public copies.</w:t>
      </w:r>
    </w:p>
    <w:p>
      <w:pPr>
        <w:pStyle w:val="Heading1"/>
      </w:pPr>
      <w:r>
        <w:t>Evaluation specification</w:t>
      </w:r>
    </w:p>
    <w:p>
      <w:r>
        <w:t>Use a common decision problem, functional unit, boundary, time horizon, and comparator across clinical, economic, and environmental analyses. Do not combine or monetize outcomes unless the conversion method is credible, transparent, and checked for double counting. Mandatory safeguards remain non-compensatory.</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re"/>
            <w:shd w:fill="1F4E78"/>
          </w:tcPr>
          <w:p>
            <w:pPr>
              <w:jc w:val="left"/>
            </w:pPr>
            <w:r/>
            <w:r>
              <w:rPr>
                <w:b/>
                <w:color w:val="FFFFFF"/>
                <w:sz w:val="16"/>
              </w:rPr>
              <w:t>Field</w:t>
            </w:r>
          </w:p>
        </w:tc>
        <w:tc>
          <w:tcPr>
            <w:tcW w:type="dxa" w:w="5100"/>
            <w:vAlign w:val="centre"/>
            <w:shd w:fill="1F4E78"/>
          </w:tcPr>
          <w:p>
            <w:pPr>
              <w:jc w:val="left"/>
            </w:pPr>
            <w:r/>
            <w:r>
              <w:rPr>
                <w:b/>
                <w:color w:val="FFFFFF"/>
                <w:sz w:val="16"/>
              </w:rPr>
              <w:t>Record</w:t>
            </w:r>
          </w:p>
        </w:tc>
      </w:tr>
      <w:tr>
        <w:tc>
          <w:tcPr>
            <w:tcW w:type="dxa" w:w="5100"/>
            <w:vAlign w:val="centre"/>
          </w:tcPr>
          <w:p>
            <w:pPr>
              <w:jc w:val="left"/>
            </w:pPr>
            <w:r/>
            <w:r>
              <w:rPr>
                <w:b w:val="0"/>
                <w:sz w:val="16"/>
              </w:rPr>
              <w:t>Decision, decision-maker, and comparator(s)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Population, setting, service function, and functional unit</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Perspective, system boundary, time horizon, price year, and discounting</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Clinical and operational outcomes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Lifecycle financial and opportunity costs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Energy, water, carbon, materials, transport, waste, and recovery indicators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Maintenance, repair, refurbishment, downtime, and remaining-life assumptions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Residual or recovered value net of realization cost</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Resilience mechanism and any valued consequence</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Distributional, equity, workforce, and public-value effects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Monetized effects and effects retained as separate criteria</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Evidence sources, confidence, missing data, and double-counting checks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Deterministic, probabilistic, threshold, rebound, and robust scenarios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Mandatory safeguards and excluded options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Decision rule, conditional recommendation, and review trigger</w:t>
            </w:r>
          </w:p>
        </w:tc>
        <w:tc>
          <w:tcPr>
            <w:tcW w:type="dxa" w:w="5100"/>
            <w:vAlign w:val="centre"/>
          </w:tcPr>
          <w:p>
            <w:pPr>
              <w:jc w:val="left"/>
            </w:pPr>
            <w:r/>
            <w:r>
              <w:rPr>
                <w:b w:val="0"/>
                <w:sz w:val="16"/>
              </w:rPr>
            </w:r>
          </w:p>
        </w:tc>
      </w:tr>
    </w:tbl>
    <w:p/>
    <w:p>
      <w:pPr>
        <w:pStyle w:val="Heading1"/>
      </w:pPr>
      <w:r>
        <w:t>Option results and threshold record</w:t>
      </w:r>
    </w:p>
    <w:tbl>
      <w:tblPr>
        <w:tblStyle w:val="TableGrid"/>
        <w:tblW w:type="auto" w:w="0"/>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re"/>
            <w:shd w:fill="1F4E78"/>
          </w:tcPr>
          <w:p>
            <w:pPr>
              <w:jc w:val="left"/>
            </w:pPr>
            <w:r/>
            <w:r>
              <w:rPr>
                <w:b/>
                <w:color w:val="FFFFFF"/>
                <w:sz w:val="14"/>
              </w:rPr>
              <w:t>Outcome or component</w:t>
            </w:r>
          </w:p>
        </w:tc>
        <w:tc>
          <w:tcPr>
            <w:tcW w:type="dxa" w:w="1457"/>
            <w:vAlign w:val="centre"/>
            <w:shd w:fill="1F4E78"/>
          </w:tcPr>
          <w:p>
            <w:pPr>
              <w:jc w:val="left"/>
            </w:pPr>
            <w:r/>
            <w:r>
              <w:rPr>
                <w:b/>
                <w:color w:val="FFFFFF"/>
                <w:sz w:val="14"/>
              </w:rPr>
              <w:t>Comparator</w:t>
            </w:r>
          </w:p>
        </w:tc>
        <w:tc>
          <w:tcPr>
            <w:tcW w:type="dxa" w:w="1457"/>
            <w:vAlign w:val="centre"/>
            <w:shd w:fill="1F4E78"/>
          </w:tcPr>
          <w:p>
            <w:pPr>
              <w:jc w:val="left"/>
            </w:pPr>
            <w:r/>
            <w:r>
              <w:rPr>
                <w:b/>
                <w:color w:val="FFFFFF"/>
                <w:sz w:val="14"/>
              </w:rPr>
              <w:t>Option 1</w:t>
            </w:r>
          </w:p>
        </w:tc>
        <w:tc>
          <w:tcPr>
            <w:tcW w:type="dxa" w:w="1457"/>
            <w:vAlign w:val="centre"/>
            <w:shd w:fill="1F4E78"/>
          </w:tcPr>
          <w:p>
            <w:pPr>
              <w:jc w:val="left"/>
            </w:pPr>
            <w:r/>
            <w:r>
              <w:rPr>
                <w:b/>
                <w:color w:val="FFFFFF"/>
                <w:sz w:val="14"/>
              </w:rPr>
              <w:t>Option 2</w:t>
            </w:r>
          </w:p>
        </w:tc>
        <w:tc>
          <w:tcPr>
            <w:tcW w:type="dxa" w:w="1457"/>
            <w:vAlign w:val="centre"/>
            <w:shd w:fill="1F4E78"/>
          </w:tcPr>
          <w:p>
            <w:pPr>
              <w:jc w:val="left"/>
            </w:pPr>
            <w:r/>
            <w:r>
              <w:rPr>
                <w:b/>
                <w:color w:val="FFFFFF"/>
                <w:sz w:val="14"/>
              </w:rPr>
              <w:t>Option 3</w:t>
            </w:r>
          </w:p>
        </w:tc>
        <w:tc>
          <w:tcPr>
            <w:tcW w:type="dxa" w:w="1457"/>
            <w:vAlign w:val="centre"/>
            <w:shd w:fill="1F4E78"/>
          </w:tcPr>
          <w:p>
            <w:pPr>
              <w:jc w:val="left"/>
            </w:pPr>
            <w:r/>
            <w:r>
              <w:rPr>
                <w:b/>
                <w:color w:val="FFFFFF"/>
                <w:sz w:val="14"/>
              </w:rPr>
              <w:t>Increment / threshold</w:t>
            </w:r>
          </w:p>
        </w:tc>
        <w:tc>
          <w:tcPr>
            <w:tcW w:type="dxa" w:w="1457"/>
            <w:vAlign w:val="centre"/>
            <w:shd w:fill="1F4E78"/>
          </w:tcPr>
          <w:p>
            <w:pPr>
              <w:jc w:val="left"/>
            </w:pPr>
            <w:r/>
            <w:r>
              <w:rPr>
                <w:b/>
                <w:color w:val="FFFFFF"/>
                <w:sz w:val="14"/>
              </w:rPr>
              <w:t>Source / confidence</w:t>
            </w:r>
          </w:p>
        </w:tc>
      </w:tr>
      <w:tr>
        <w:tc>
          <w:tcPr>
            <w:tcW w:type="dxa" w:w="1457"/>
            <w:vAlign w:val="centre"/>
          </w:tcPr>
          <w:p>
            <w:pPr>
              <w:jc w:val="left"/>
            </w:pPr>
            <w:r/>
            <w:r>
              <w:rPr>
                <w:b w:val="0"/>
                <w:sz w:val="14"/>
              </w:rPr>
              <w:t>Clinical effect and safety</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Lifecycle cost and budget impact</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Environmental and material indicators</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Residual or recovered value</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Resilience and continuity</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Equity and distribution</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Conventional net benefit</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Circularity-adjusted net benefit, if used</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r>
        <w:tc>
          <w:tcPr>
            <w:tcW w:type="dxa" w:w="1457"/>
            <w:vAlign w:val="centre"/>
          </w:tcPr>
          <w:p>
            <w:pPr>
              <w:jc w:val="left"/>
            </w:pPr>
            <w:r/>
            <w:r>
              <w:rPr>
                <w:b w:val="0"/>
                <w:sz w:val="14"/>
              </w:rPr>
              <w:t>Non-monetized criteria</w:t>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c>
          <w:tcPr>
            <w:tcW w:type="dxa" w:w="1457"/>
            <w:vAlign w:val="centre"/>
          </w:tcPr>
          <w:p>
            <w:pPr>
              <w:jc w:val="left"/>
            </w:pPr>
            <w:r/>
            <w:r>
              <w:rPr>
                <w:b w:val="0"/>
                <w:sz w:val="14"/>
              </w:rPr>
            </w:r>
          </w:p>
        </w:tc>
      </w:tr>
      <w:tr>
        <w:tc>
          <w:tcPr>
            <w:tcW w:type="dxa" w:w="1457"/>
            <w:vAlign w:val="centre"/>
            <w:shd w:fill="EAF2F8"/>
          </w:tcPr>
          <w:p>
            <w:pPr>
              <w:jc w:val="left"/>
            </w:pPr>
            <w:r/>
            <w:r>
              <w:rPr>
                <w:b w:val="0"/>
                <w:sz w:val="14"/>
              </w:rPr>
              <w:t>Preferred option by scenario</w:t>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c>
          <w:tcPr>
            <w:tcW w:type="dxa" w:w="1457"/>
            <w:vAlign w:val="centre"/>
            <w:shd w:fill="EAF2F8"/>
          </w:tcPr>
          <w:p>
            <w:pPr>
              <w:jc w:val="left"/>
            </w:pPr>
            <w:r/>
            <w:r>
              <w:rPr>
                <w:b w:val="0"/>
                <w:sz w:val="14"/>
              </w:rPr>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AIHE-CE6 Circularity Adjusted Evaluation Record</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