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100" w:after="260"/>
        <w:jc w:val="centre"/>
        <w:rPr/>
      </w:pPr>
      <w:r>
        <w:t>Artificial Intelligence and Healthcare Economics</w:t>
      </w:r>
    </w:p>
    <w:p>
      <w:pPr>
        <w:pStyle w:val="Subtitle"/>
        <w:jc w:val="centre"/>
        <w:rPr/>
      </w:pPr>
      <w:r>
        <w:rPr>
          <w:rFonts w:ascii="Georgia" w:hAnsi="Georgia"/>
          <w:b/>
          <w:i/>
          <w:color w:val="7B1734"/>
          <w:sz w:val="36"/>
        </w:rPr>
        <w:t>Evidence, Value, Governance, and Sustainability</w:t>
        <w:br/>
        <w:t>Digital Resource Companion</w:t>
        <w:br/>
        <w:t>Institutional Records, Workbooks, Worked Examples, Reference Guides, and Analytical Resources</w:t>
      </w:r>
    </w:p>
    <w:p>
      <w:pPr>
        <w:pStyle w:val="Author"/>
        <w:jc w:val="centre"/>
        <w:rPr/>
      </w:pPr>
      <w:r>
        <w:t>Muthana Zouri</w:t>
      </w:r>
    </w:p>
    <w:p>
      <w:pPr>
        <w:pStyle w:val="Author"/>
        <w:jc w:val="centre"/>
        <w:rPr/>
      </w:pPr>
      <w:r>
        <w:t>Carmen Marinela Cumpăt</w:t>
      </w:r>
    </w:p>
    <w:p>
      <w:pPr>
        <w:jc w:val="centre"/>
      </w:pPr>
      <w:r>
        <w:rPr>
          <w:color w:val="555052"/>
          <w:sz w:val="19"/>
        </w:rPr>
        <w:t>Grigore T. Popa University of Medicine and Pharmacy Publishing House</w:t>
      </w:r>
    </w:p>
    <w:p>
      <w:pPr>
        <w:pStyle w:val="Date"/>
        <w:jc w:val="centre"/>
        <w:rPr/>
      </w:pPr>
      <w:r>
        <w:rPr>
          <w:color w:val="555052"/>
          <w:sz w:val="19"/>
        </w:rPr>
        <w:t>V1.0 | 2026</w:t>
        <w:br/>
        <w:t>Comprehensive printable and editable edition aligned with the current five-Part, fifteen-chapter structure</w:t>
        <w:br/>
        <w:t>Worked examples are synthetic unless explicitly stated.</w:t>
      </w:r>
    </w:p>
    <w:sdt>
      <w:sdtPr>
        <w:docPartObj>
          <w:docPartGallery w:val="Table of Contents"/>
          <w:docPartUnique w:val="true"/>
        </w:docPartObj>
      </w:sdtPr>
      <w:sdtContent>
        <w:p>
          <w:pPr>
            <w:pStyle w:val="TOCHeading"/>
            <w:rPr/>
          </w:pPr>
          <w:r>
            <w:br w:type="page"/>
          </w:r>
          <w:r>
            <w:rPr/>
            <w:t>Table of Contents</w:t>
          </w:r>
        </w:p>
        <w:p>
          <w:pPr>
            <w:pStyle w:val="TOC1"/>
            <w:tabs>
              <w:tab w:val="clear" w:pos="9746"/>
              <w:tab w:val="right" w:pos="974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4037_3940395444">
            <w:r>
              <w:rPr>
                <w:webHidden/>
                <w:rStyle w:val="IndexLink"/>
              </w:rPr>
              <w:t>About This Companion</w:t>
              <w:tab/>
              <w:t>3</w:t>
            </w:r>
          </w:hyperlink>
        </w:p>
        <w:p>
          <w:pPr>
            <w:pStyle w:val="TOC1"/>
            <w:tabs>
              <w:tab w:val="clear" w:pos="9746"/>
              <w:tab w:val="right" w:pos="9745" w:leader="dot"/>
            </w:tabs>
            <w:rPr/>
          </w:pPr>
          <w:hyperlink w:anchor="__RefHeading___Toc24039_3940395444">
            <w:r>
              <w:rPr>
                <w:webHidden/>
                <w:rStyle w:val="IndexLink"/>
              </w:rPr>
              <w:t>Resource Architecture</w:t>
              <w:tab/>
              <w:t>3</w:t>
            </w:r>
          </w:hyperlink>
        </w:p>
        <w:p>
          <w:pPr>
            <w:pStyle w:val="TOC1"/>
            <w:tabs>
              <w:tab w:val="clear" w:pos="9746"/>
              <w:tab w:val="right" w:pos="9745" w:leader="dot"/>
            </w:tabs>
            <w:rPr/>
          </w:pPr>
          <w:hyperlink w:anchor="__RefHeading___Toc24041_3940395444">
            <w:r>
              <w:rPr>
                <w:webHidden/>
                <w:rStyle w:val="IndexLink"/>
              </w:rPr>
              <w:t>How to Use the Companion</w:t>
              <w:tab/>
              <w:t>3</w:t>
            </w:r>
          </w:hyperlink>
        </w:p>
        <w:p>
          <w:pPr>
            <w:pStyle w:val="TOC1"/>
            <w:tabs>
              <w:tab w:val="clear" w:pos="9746"/>
              <w:tab w:val="right" w:pos="9745" w:leader="dot"/>
            </w:tabs>
            <w:rPr/>
          </w:pPr>
          <w:hyperlink w:anchor="__RefHeading___Toc24043_3940395444">
            <w:r>
              <w:rPr>
                <w:webHidden/>
                <w:rStyle w:val="IndexLink"/>
              </w:rPr>
              <w:t>Common Institutional Record</w:t>
              <w:tab/>
              <w:t>4</w:t>
            </w:r>
          </w:hyperlink>
        </w:p>
        <w:p>
          <w:pPr>
            <w:pStyle w:val="TOC2"/>
            <w:tabs>
              <w:tab w:val="clear" w:pos="9463"/>
              <w:tab w:val="right" w:pos="9745" w:leader="dot"/>
            </w:tabs>
            <w:rPr/>
          </w:pPr>
          <w:hyperlink w:anchor="__RefHeading___Toc24045_3940395444">
            <w:r>
              <w:rPr>
                <w:webHidden/>
                <w:rStyle w:val="IndexLink"/>
              </w:rPr>
              <w:t>Standard Decision Statement</w:t>
              <w:tab/>
              <w:t>4</w:t>
            </w:r>
          </w:hyperlink>
        </w:p>
        <w:p>
          <w:pPr>
            <w:pStyle w:val="TOC1"/>
            <w:tabs>
              <w:tab w:val="clear" w:pos="9746"/>
              <w:tab w:val="right" w:pos="9745" w:leader="dot"/>
            </w:tabs>
            <w:rPr/>
          </w:pPr>
          <w:hyperlink w:anchor="__RefHeading___Toc24047_3940395444">
            <w:r>
              <w:rPr>
                <w:webHidden/>
                <w:rStyle w:val="IndexLink"/>
              </w:rPr>
              <w:t>Reader Pathways</w:t>
              <w:tab/>
              <w:t>4</w:t>
            </w:r>
          </w:hyperlink>
        </w:p>
        <w:p>
          <w:pPr>
            <w:pStyle w:val="TOC1"/>
            <w:tabs>
              <w:tab w:val="clear" w:pos="9746"/>
              <w:tab w:val="right" w:pos="9745" w:leader="dot"/>
            </w:tabs>
            <w:rPr/>
          </w:pPr>
          <w:hyperlink w:anchor="__RefHeading___Toc24049_3940395444">
            <w:r>
              <w:rPr>
                <w:webHidden/>
                <w:rStyle w:val="IndexLink"/>
              </w:rPr>
              <w:t>Current Book and Companion Structure</w:t>
              <w:tab/>
              <w:t>5</w:t>
            </w:r>
          </w:hyperlink>
        </w:p>
        <w:p>
          <w:pPr>
            <w:pStyle w:val="TOC1"/>
            <w:tabs>
              <w:tab w:val="clear" w:pos="9746"/>
              <w:tab w:val="right" w:pos="9745" w:leader="dot"/>
            </w:tabs>
            <w:rPr/>
          </w:pPr>
          <w:hyperlink w:anchor="__RefHeading___Toc24051_3940395444">
            <w:r>
              <w:rPr>
                <w:webHidden/>
                <w:rStyle w:val="IndexLink"/>
              </w:rPr>
              <w:t>File Formats and Repository Structure</w:t>
              <w:tab/>
              <w:t>5</w:t>
            </w:r>
          </w:hyperlink>
        </w:p>
        <w:p>
          <w:pPr>
            <w:pStyle w:val="TOC1"/>
            <w:tabs>
              <w:tab w:val="clear" w:pos="9746"/>
              <w:tab w:val="right" w:pos="9745" w:leader="dot"/>
            </w:tabs>
            <w:rPr/>
          </w:pPr>
          <w:hyperlink w:anchor="__RefHeading___Toc24053_3940395444">
            <w:r>
              <w:rPr>
                <w:webHidden/>
                <w:rStyle w:val="IndexLink"/>
              </w:rPr>
              <w:t>Cross-Cutting Reference Guides</w:t>
              <w:tab/>
              <w:t>6</w:t>
            </w:r>
          </w:hyperlink>
        </w:p>
        <w:p>
          <w:pPr>
            <w:pStyle w:val="TOC1"/>
            <w:tabs>
              <w:tab w:val="clear" w:pos="9746"/>
              <w:tab w:val="right" w:pos="9745" w:leader="dot"/>
            </w:tabs>
            <w:rPr/>
          </w:pPr>
          <w:hyperlink w:anchor="__RefHeading___Toc24055_3940395444">
            <w:r>
              <w:rPr>
                <w:webHidden/>
                <w:rStyle w:val="IndexLink"/>
              </w:rPr>
              <w:t>Version Control, Data Protection, and Citation</w:t>
              <w:tab/>
              <w:t>7</w:t>
            </w:r>
          </w:hyperlink>
        </w:p>
        <w:p>
          <w:pPr>
            <w:pStyle w:val="TOC1"/>
            <w:tabs>
              <w:tab w:val="clear" w:pos="9746"/>
              <w:tab w:val="right" w:pos="9745" w:leader="dot"/>
            </w:tabs>
            <w:rPr/>
          </w:pPr>
          <w:hyperlink w:anchor="__RefHeading___Toc24057_3940395444">
            <w:r>
              <w:rPr>
                <w:webHidden/>
                <w:rStyle w:val="IndexLink"/>
              </w:rPr>
              <w:t>Status Taxonomy for External and Author-Developed Instruments</w:t>
              <w:tab/>
              <w:t>7</w:t>
            </w:r>
          </w:hyperlink>
        </w:p>
        <w:p>
          <w:pPr>
            <w:pStyle w:val="TOC1"/>
            <w:tabs>
              <w:tab w:val="clear" w:pos="9746"/>
              <w:tab w:val="right" w:pos="9745" w:leader="dot"/>
            </w:tabs>
            <w:rPr/>
          </w:pPr>
          <w:hyperlink w:anchor="__RefHeading___Toc24059_3940395444">
            <w:r>
              <w:rPr>
                <w:webHidden/>
                <w:rStyle w:val="IndexLink"/>
              </w:rPr>
              <w:t>Part I: Managerial and Economic Foundations</w:t>
              <w:tab/>
              <w:t>9</w:t>
            </w:r>
          </w:hyperlink>
        </w:p>
        <w:p>
          <w:pPr>
            <w:pStyle w:val="TOC2"/>
            <w:tabs>
              <w:tab w:val="clear" w:pos="9463"/>
              <w:tab w:val="right" w:pos="9745" w:leader="dot"/>
            </w:tabs>
            <w:rPr/>
          </w:pPr>
          <w:hyperlink w:anchor="__RefHeading___Toc24061_3940395444">
            <w:r>
              <w:rPr>
                <w:webHidden/>
                <w:rStyle w:val="IndexLink"/>
              </w:rPr>
              <w:t>Chapter 1: AI as a Health-System Intervention</w:t>
              <w:tab/>
              <w:t>10</w:t>
            </w:r>
          </w:hyperlink>
        </w:p>
        <w:p>
          <w:pPr>
            <w:pStyle w:val="TOC2"/>
            <w:tabs>
              <w:tab w:val="clear" w:pos="9463"/>
              <w:tab w:val="right" w:pos="9745" w:leader="dot"/>
            </w:tabs>
            <w:rPr/>
          </w:pPr>
          <w:hyperlink w:anchor="__RefHeading___Toc24063_3940395444">
            <w:r>
              <w:rPr>
                <w:webHidden/>
                <w:rStyle w:val="IndexLink"/>
              </w:rPr>
              <w:t>Chapter 2: Institutional Readiness and Digital Foundations</w:t>
              <w:tab/>
              <w:t>15</w:t>
            </w:r>
          </w:hyperlink>
        </w:p>
        <w:p>
          <w:pPr>
            <w:pStyle w:val="TOC2"/>
            <w:tabs>
              <w:tab w:val="clear" w:pos="9463"/>
              <w:tab w:val="right" w:pos="9745" w:leader="dot"/>
            </w:tabs>
            <w:rPr/>
          </w:pPr>
          <w:hyperlink w:anchor="__RefHeading___Toc24065_3940395444">
            <w:r>
              <w:rPr>
                <w:webHidden/>
                <w:rStyle w:val="IndexLink"/>
              </w:rPr>
              <w:t>Chapter 3: Human–AI Decision Support and Managerial Action</w:t>
              <w:tab/>
              <w:t>20</w:t>
            </w:r>
          </w:hyperlink>
        </w:p>
        <w:p>
          <w:pPr>
            <w:pStyle w:val="TOC1"/>
            <w:tabs>
              <w:tab w:val="clear" w:pos="9746"/>
              <w:tab w:val="right" w:pos="9745" w:leader="dot"/>
            </w:tabs>
            <w:rPr/>
          </w:pPr>
          <w:hyperlink w:anchor="__RefHeading___Toc24067_3940395444">
            <w:r>
              <w:rPr>
                <w:webHidden/>
                <w:rStyle w:val="IndexLink"/>
              </w:rPr>
              <w:t>Part II: Organizational Performance, Workforce, and Quality</w:t>
              <w:tab/>
              <w:t>25</w:t>
            </w:r>
          </w:hyperlink>
        </w:p>
        <w:p>
          <w:pPr>
            <w:pStyle w:val="TOC2"/>
            <w:tabs>
              <w:tab w:val="clear" w:pos="9463"/>
              <w:tab w:val="right" w:pos="9745" w:leader="dot"/>
            </w:tabs>
            <w:rPr/>
          </w:pPr>
          <w:hyperlink w:anchor="__RefHeading___Toc24069_3940395444">
            <w:r>
              <w:rPr>
                <w:webHidden/>
                <w:rStyle w:val="IndexLink"/>
              </w:rPr>
              <w:t>Chapter 4: Productivity, Workforce Redesign, and Implementation</w:t>
              <w:tab/>
              <w:t>26</w:t>
            </w:r>
          </w:hyperlink>
        </w:p>
        <w:p>
          <w:pPr>
            <w:pStyle w:val="TOC2"/>
            <w:tabs>
              <w:tab w:val="clear" w:pos="9463"/>
              <w:tab w:val="right" w:pos="9745" w:leader="dot"/>
            </w:tabs>
            <w:rPr/>
          </w:pPr>
          <w:hyperlink w:anchor="__RefHeading___Toc24071_3940395444">
            <w:r>
              <w:rPr>
                <w:webHidden/>
                <w:rStyle w:val="IndexLink"/>
              </w:rPr>
              <w:t>Chapter 5: Quality, Accreditation, and Organizational Learning</w:t>
              <w:tab/>
              <w:t>31</w:t>
            </w:r>
          </w:hyperlink>
        </w:p>
        <w:p>
          <w:pPr>
            <w:pStyle w:val="TOC1"/>
            <w:tabs>
              <w:tab w:val="clear" w:pos="9746"/>
              <w:tab w:val="right" w:pos="9745" w:leader="dot"/>
            </w:tabs>
            <w:rPr/>
          </w:pPr>
          <w:hyperlink w:anchor="__RefHeading___Toc24073_3940395444">
            <w:r>
              <w:rPr>
                <w:webHidden/>
                <w:rStyle w:val="IndexLink"/>
              </w:rPr>
              <w:t>Part III: Economic Evaluation, Decision Modelling, and Procurement</w:t>
              <w:tab/>
              <w:t>36</w:t>
            </w:r>
          </w:hyperlink>
        </w:p>
        <w:p>
          <w:pPr>
            <w:pStyle w:val="TOC2"/>
            <w:tabs>
              <w:tab w:val="clear" w:pos="9463"/>
              <w:tab w:val="right" w:pos="9745" w:leader="dot"/>
            </w:tabs>
            <w:rPr/>
          </w:pPr>
          <w:hyperlink w:anchor="__RefHeading___Toc24075_3940395444">
            <w:r>
              <w:rPr>
                <w:webHidden/>
                <w:rStyle w:val="IndexLink"/>
              </w:rPr>
              <w:t>Chapter 6: Lifecycle Cost, Pricing, and Benefit Realization</w:t>
              <w:tab/>
              <w:t>37</w:t>
            </w:r>
          </w:hyperlink>
        </w:p>
        <w:p>
          <w:pPr>
            <w:pStyle w:val="TOC2"/>
            <w:tabs>
              <w:tab w:val="clear" w:pos="9463"/>
              <w:tab w:val="right" w:pos="9745" w:leader="dot"/>
            </w:tabs>
            <w:rPr/>
          </w:pPr>
          <w:hyperlink w:anchor="__RefHeading___Toc24077_3940395444">
            <w:r>
              <w:rPr>
                <w:webHidden/>
                <w:rStyle w:val="IndexLink"/>
              </w:rPr>
              <w:t>Chapter 7: Economic Evaluation, Affordability, and HTA</w:t>
              <w:tab/>
              <w:t>42</w:t>
            </w:r>
          </w:hyperlink>
        </w:p>
        <w:p>
          <w:pPr>
            <w:pStyle w:val="TOC2"/>
            <w:tabs>
              <w:tab w:val="clear" w:pos="9463"/>
              <w:tab w:val="right" w:pos="9745" w:leader="dot"/>
            </w:tabs>
            <w:rPr/>
          </w:pPr>
          <w:hyperlink w:anchor="__RefHeading___Toc24079_3940395444">
            <w:r>
              <w:rPr>
                <w:webHidden/>
                <w:rStyle w:val="IndexLink"/>
              </w:rPr>
              <w:t>Chapter 8: Decision Modelling and Simulation Under Uncertainty</w:t>
              <w:tab/>
              <w:t>47</w:t>
            </w:r>
          </w:hyperlink>
        </w:p>
        <w:p>
          <w:pPr>
            <w:pStyle w:val="TOC2"/>
            <w:tabs>
              <w:tab w:val="clear" w:pos="9463"/>
              <w:tab w:val="right" w:pos="9745" w:leader="dot"/>
            </w:tabs>
            <w:rPr/>
          </w:pPr>
          <w:hyperlink w:anchor="__RefHeading___Toc24081_3940395444">
            <w:r>
              <w:rPr>
                <w:webHidden/>
                <w:rStyle w:val="IndexLink"/>
              </w:rPr>
              <w:t>Chapter 9: Problem-First Procurement and Vendor Governance</w:t>
              <w:tab/>
              <w:t>59</w:t>
            </w:r>
          </w:hyperlink>
        </w:p>
        <w:p>
          <w:pPr>
            <w:pStyle w:val="TOC1"/>
            <w:tabs>
              <w:tab w:val="clear" w:pos="9746"/>
              <w:tab w:val="right" w:pos="9745" w:leader="dot"/>
            </w:tabs>
            <w:rPr/>
          </w:pPr>
          <w:hyperlink w:anchor="__RefHeading___Toc24083_3940395444">
            <w:r>
              <w:rPr>
                <w:webHidden/>
                <w:rStyle w:val="IndexLink"/>
              </w:rPr>
              <w:t>Part IV: Governance, Evidence, and Lifecycle Decision-Making</w:t>
              <w:tab/>
              <w:t>64</w:t>
            </w:r>
          </w:hyperlink>
        </w:p>
        <w:p>
          <w:pPr>
            <w:pStyle w:val="TOC2"/>
            <w:tabs>
              <w:tab w:val="clear" w:pos="9463"/>
              <w:tab w:val="right" w:pos="9745" w:leader="dot"/>
            </w:tabs>
            <w:rPr/>
          </w:pPr>
          <w:hyperlink w:anchor="__RefHeading___Toc24085_3940395444">
            <w:r>
              <w:rPr>
                <w:webHidden/>
                <w:rStyle w:val="IndexLink"/>
              </w:rPr>
              <w:t>Chapter 10: Governance, Accountability, and Institutional Risk</w:t>
              <w:tab/>
              <w:t>65</w:t>
            </w:r>
          </w:hyperlink>
        </w:p>
        <w:p>
          <w:pPr>
            <w:pStyle w:val="TOC2"/>
            <w:tabs>
              <w:tab w:val="clear" w:pos="9463"/>
              <w:tab w:val="right" w:pos="9745" w:leader="dot"/>
            </w:tabs>
            <w:rPr/>
          </w:pPr>
          <w:hyperlink w:anchor="__RefHeading___Toc24087_3940395444">
            <w:r>
              <w:rPr>
                <w:webHidden/>
                <w:rStyle w:val="IndexLink"/>
              </w:rPr>
              <w:t>Chapter 11: Evidence, Validation, and Real-World Evaluation</w:t>
              <w:tab/>
              <w:t>70</w:t>
            </w:r>
          </w:hyperlink>
        </w:p>
        <w:p>
          <w:pPr>
            <w:pStyle w:val="TOC2"/>
            <w:tabs>
              <w:tab w:val="clear" w:pos="9463"/>
              <w:tab w:val="right" w:pos="9745" w:leader="dot"/>
            </w:tabs>
            <w:rPr/>
          </w:pPr>
          <w:hyperlink w:anchor="__RefHeading___Toc24089_3940395444">
            <w:r>
              <w:rPr>
                <w:webHidden/>
                <w:rStyle w:val="IndexLink"/>
              </w:rPr>
              <w:t>Chapter 12: Decision Architecture and Lifecycle Governance</w:t>
              <w:tab/>
              <w:t>75</w:t>
            </w:r>
          </w:hyperlink>
        </w:p>
        <w:p>
          <w:pPr>
            <w:pStyle w:val="TOC1"/>
            <w:tabs>
              <w:tab w:val="clear" w:pos="9746"/>
              <w:tab w:val="right" w:pos="9745" w:leader="dot"/>
            </w:tabs>
            <w:rPr/>
          </w:pPr>
          <w:hyperlink w:anchor="__RefHeading___Toc24091_3940395444">
            <w:r>
              <w:rPr>
                <w:webHidden/>
                <w:rStyle w:val="IndexLink"/>
              </w:rPr>
              <w:t>Part V: Circular Economy and Sustainable Value</w:t>
              <w:tab/>
              <w:t>80</w:t>
            </w:r>
          </w:hyperlink>
        </w:p>
        <w:p>
          <w:pPr>
            <w:pStyle w:val="TOC2"/>
            <w:tabs>
              <w:tab w:val="clear" w:pos="9463"/>
              <w:tab w:val="right" w:pos="9745" w:leader="dot"/>
            </w:tabs>
            <w:rPr/>
          </w:pPr>
          <w:hyperlink w:anchor="__RefHeading___Toc24093_3940395444">
            <w:r>
              <w:rPr>
                <w:webHidden/>
                <w:rStyle w:val="IndexLink"/>
              </w:rPr>
              <w:t>Chapter 13: Circular Health Systems and Resource Stewardship</w:t>
              <w:tab/>
              <w:t>81</w:t>
            </w:r>
          </w:hyperlink>
        </w:p>
        <w:p>
          <w:pPr>
            <w:pStyle w:val="TOC2"/>
            <w:tabs>
              <w:tab w:val="clear" w:pos="9463"/>
              <w:tab w:val="right" w:pos="9745" w:leader="dot"/>
            </w:tabs>
            <w:rPr/>
          </w:pPr>
          <w:hyperlink w:anchor="__RefHeading___Toc24095_3940395444">
            <w:r>
              <w:rPr>
                <w:webHidden/>
                <w:rStyle w:val="IndexLink"/>
              </w:rPr>
              <w:t>Chapter 14: Circular Procurement and Asset Stewardship</w:t>
              <w:tab/>
              <w:t>86</w:t>
            </w:r>
          </w:hyperlink>
        </w:p>
        <w:p>
          <w:pPr>
            <w:pStyle w:val="TOC2"/>
            <w:tabs>
              <w:tab w:val="clear" w:pos="9463"/>
              <w:tab w:val="right" w:pos="9745" w:leader="dot"/>
            </w:tabs>
            <w:rPr/>
          </w:pPr>
          <w:hyperlink w:anchor="__RefHeading___Toc24097_3940395444">
            <w:r>
              <w:rPr>
                <w:webHidden/>
                <w:rStyle w:val="IndexLink"/>
              </w:rPr>
              <w:t>Chapter 15: Circularity-Adjusted Evaluation and Sustainable Value</w:t>
              <w:tab/>
              <w:t>91</w:t>
            </w:r>
          </w:hyperlink>
        </w:p>
        <w:p>
          <w:pPr>
            <w:pStyle w:val="TOC1"/>
            <w:tabs>
              <w:tab w:val="clear" w:pos="9746"/>
              <w:tab w:val="right" w:pos="9745" w:leader="dot"/>
            </w:tabs>
            <w:rPr/>
          </w:pPr>
          <w:hyperlink w:anchor="__RefHeading___Toc24099_3940395444">
            <w:r>
              <w:rPr>
                <w:webHidden/>
                <w:rStyle w:val="IndexLink"/>
              </w:rPr>
              <w:t>Cross-Chapter and Optional Resources</w:t>
              <w:tab/>
              <w:t>96</w:t>
            </w:r>
          </w:hyperlink>
        </w:p>
        <w:p>
          <w:pPr>
            <w:pStyle w:val="TOC1"/>
            <w:tabs>
              <w:tab w:val="clear" w:pos="9746"/>
              <w:tab w:val="right" w:pos="9745" w:leader="dot"/>
            </w:tabs>
            <w:rPr/>
          </w:pPr>
          <w:hyperlink w:anchor="__RefHeading___Toc24101_3940395444">
            <w:r>
              <w:rPr>
                <w:webHidden/>
                <w:rStyle w:val="IndexLink"/>
              </w:rPr>
              <w:t>Repository Workflow for Institutional Projects</w:t>
              <w:tab/>
              <w:t>97</w:t>
            </w:r>
          </w:hyperlink>
        </w:p>
        <w:p>
          <w:pPr>
            <w:pStyle w:val="TOC2"/>
            <w:tabs>
              <w:tab w:val="clear" w:pos="9463"/>
              <w:tab w:val="right" w:pos="9745" w:leader="dot"/>
            </w:tabs>
            <w:rPr/>
          </w:pPr>
          <w:hyperlink w:anchor="__RefHeading___Toc24103_3940395444">
            <w:r>
              <w:rPr>
                <w:webHidden/>
                <w:rStyle w:val="IndexLink"/>
              </w:rPr>
              <w:t>Suggested Project Folder</w:t>
              <w:tab/>
              <w:t>97</w:t>
            </w:r>
          </w:hyperlink>
        </w:p>
        <w:p>
          <w:pPr>
            <w:pStyle w:val="TOC2"/>
            <w:tabs>
              <w:tab w:val="clear" w:pos="9463"/>
              <w:tab w:val="right" w:pos="9745" w:leader="dot"/>
            </w:tabs>
            <w:rPr/>
          </w:pPr>
          <w:hyperlink w:anchor="__RefHeading___Toc24105_3940395444">
            <w:r>
              <w:rPr>
                <w:webHidden/>
                <w:rStyle w:val="IndexLink"/>
              </w:rPr>
              <w:t>Control Principles</w:t>
              <w:tab/>
              <w:t>97</w:t>
            </w:r>
          </w:hyperlink>
        </w:p>
        <w:p>
          <w:pPr>
            <w:pStyle w:val="TOC1"/>
            <w:tabs>
              <w:tab w:val="clear" w:pos="9746"/>
              <w:tab w:val="right" w:pos="9745" w:leader="dot"/>
            </w:tabs>
            <w:rPr/>
          </w:pPr>
          <w:hyperlink w:anchor="__RefHeading___Toc24107_3940395444">
            <w:r>
              <w:rPr>
                <w:webHidden/>
                <w:rStyle w:val="IndexLink"/>
              </w:rPr>
              <w:t>Customization and Quality Review</w:t>
              <w:tab/>
              <w:t>97</w:t>
            </w:r>
          </w:hyperlink>
        </w:p>
        <w:p>
          <w:pPr>
            <w:pStyle w:val="TOC1"/>
            <w:tabs>
              <w:tab w:val="clear" w:pos="9746"/>
              <w:tab w:val="right" w:pos="9745" w:leader="dot"/>
            </w:tabs>
            <w:rPr/>
          </w:pPr>
          <w:hyperlink w:anchor="__RefHeading___Toc24109_3940395444">
            <w:r>
              <w:rPr>
                <w:webHidden/>
                <w:rStyle w:val="IndexLink"/>
              </w:rPr>
              <w:t>Versioning and Citation</w:t>
              <w:tab/>
              <w:t>97</w:t>
            </w:r>
          </w:hyperlink>
        </w:p>
        <w:p>
          <w:pPr>
            <w:pStyle w:val="TOC1"/>
            <w:tabs>
              <w:tab w:val="clear" w:pos="9746"/>
              <w:tab w:val="right" w:pos="9745" w:leader="dot"/>
            </w:tabs>
            <w:rPr/>
          </w:pPr>
          <w:hyperlink w:anchor="__RefHeading___Toc24111_3940395444">
            <w:r>
              <w:rPr>
                <w:webHidden/>
                <w:rStyle w:val="IndexLink"/>
              </w:rPr>
              <w:t>Glossary</w:t>
              <w:tab/>
              <w:t>99</w:t>
            </w:r>
          </w:hyperlink>
        </w:p>
        <w:p>
          <w:pPr>
            <w:pStyle w:val="TOC1"/>
            <w:tabs>
              <w:tab w:val="clear" w:pos="9746"/>
              <w:tab w:val="right" w:pos="9745" w:leader="dot"/>
            </w:tabs>
            <w:rPr/>
          </w:pPr>
          <w:hyperlink w:anchor="__RefHeading___Toc24113_3940395444">
            <w:r>
              <w:rPr>
                <w:webHidden/>
                <w:rStyle w:val="IndexLink"/>
              </w:rPr>
              <w:t>Abbreviations and Acronyms</w:t>
              <w:tab/>
              <w:t>102</w:t>
            </w:r>
          </w:hyperlink>
        </w:p>
        <w:p>
          <w:pPr>
            <w:pStyle w:val="TOC1"/>
            <w:tabs>
              <w:tab w:val="clear" w:pos="9746"/>
              <w:tab w:val="right" w:pos="9745" w:leader="dot"/>
            </w:tabs>
            <w:rPr/>
          </w:pPr>
          <w:hyperlink w:anchor="__RefHeading___Toc24115_3940395444">
            <w:r>
              <w:rPr>
                <w:webHidden/>
                <w:rStyle w:val="IndexLink"/>
              </w:rPr>
              <w:t>Responsible Use</w:t>
              <w:tab/>
              <w:t>104</w:t>
            </w:r>
          </w:hyperlink>
        </w:p>
        <w:p>
          <w:pPr>
            <w:pStyle w:val="TOC1"/>
            <w:tabs>
              <w:tab w:val="clear" w:pos="9746"/>
              <w:tab w:val="right" w:pos="9745" w:leader="dot"/>
            </w:tabs>
            <w:rPr/>
          </w:pPr>
          <w:hyperlink w:anchor="__RefHeading___Toc24117_3940395444">
            <w:r>
              <w:rPr>
                <w:webHidden/>
                <w:rStyle w:val="IndexLink"/>
              </w:rPr>
              <w:t>References</w:t>
              <w:tab/>
              <w:t>105</w:t>
            </w:r>
          </w:hyperlink>
          <w:r>
            <w:rPr>
              <w:rStyle w:val="IndexLink"/>
            </w:rPr>
            <w:fldChar w:fldCharType="end"/>
          </w:r>
        </w:p>
      </w:sdtContent>
    </w:sdt>
    <w:p>
      <w:pPr>
        <w:pStyle w:val="Heading1"/>
        <w:keepNext w:val="true"/>
        <w:keepLines/>
        <w:pBdr>
          <w:bottom w:val="single" w:sz="8" w:space="4" w:color="B58A95"/>
        </w:pBdr>
        <w:rPr/>
      </w:pPr>
      <w:r>
        <w:t>About This Companion</w:t>
      </w:r>
    </w:p>
    <w:p>
      <w:pPr>
        <w:pStyle w:val="FirstParagraph"/>
        <w:rPr/>
      </w:pPr>
      <w:r>
        <w:t>The Digital Resource Companion is the operational extension of Artificial Intelligence and Healthcare Economics: Evidence, Value, Governance, and Sustainability. The book presents the stable scholarly argument and the integrated decision architecture. This companion provides chapter-aligned materials that readers can adapt, complete, test, archive, and update without turning the book into a collection of rapidly changing forms.</w:t>
      </w:r>
    </w:p>
    <w:p>
      <w:pPr>
        <w:pStyle w:val="BodyText"/>
        <w:rPr/>
      </w:pPr>
      <w:r>
        <w:t>The earlier printable companion organized institutional records into five broad resource sets. That version established useful common records for decision specification, economics, governance, procurement, lifecycle control, and circular value. The revised edition retains those functions but reorganizes them around the current five-Part, fifteen-chapter structure. Each chapter now has a worked example, supplemental records, reference resources, and links to the corresponding editable and computational materials.</w:t>
      </w:r>
    </w:p>
    <w:p>
      <w:pPr>
        <w:pStyle w:val="BodyText"/>
        <w:rPr/>
      </w:pPr>
      <w:r>
        <w:t>The companion is intended for institutional analysis, education, research design, documentation, and deliberation. It is not a validated clinical instrument and does not constitute legal, regulatory, procurement, cybersecurity, accreditation, quality-certification, financial, or health technology assessment advice. Local evidence, lawful authority, professional judgement, multidisciplinary review, and accountable approval remain necessary.</w:t>
      </w:r>
    </w:p>
    <w:p>
      <w:pPr>
        <w:pStyle w:val="Heading1"/>
        <w:keepNext w:val="true"/>
        <w:keepLines/>
        <w:pBdr>
          <w:bottom w:val="single" w:sz="8" w:space="4" w:color="B58A95"/>
        </w:pBdr>
        <w:rPr/>
      </w:pPr>
      <w:r>
        <w:t>Resource Architecture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 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Best use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Demonstrate the complete path from problem and comparator through assumptions, analysis, uncertainty, interpretation, and conditional recommendation.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Read before adapting a template or building a local model.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 editable specifications, checklists, registers, matrices, protocols, monitoring plans, and decision records.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to document the local institutional process and preserve an auditable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resources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methods, formulas, laws, standards, reporting guidance, appraisal tools, frameworks, and limitations.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to select the right instrument for the question and to avoid treating status or name recognition as evidence.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Core and specialist editable files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Supply DOCX/ODT, XLSX/ODS, CSV/JSON, Markdown, process-flow, and graphic variants.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 the format that best fits the task while retaining the stable resource identifier and version.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Python analytics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 scripts, notebooks, structured synthetic data, tests, and outputs for quantitative tasks.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when reproducibility and computational analysis materially improve the decision.</w:t>
            </w:r>
          </w:p>
        </w:tc>
      </w:tr>
    </w:tbl>
    <w:p>
      <w:pPr>
        <w:pStyle w:val="BodyText"/>
        <w:rPr/>
      </w:pPr>
      <w:r>
        <w:t>The layers are designed to be used together. A worked example demonstrates the reasoning; a supplemental resource records the local work; a reference resource clarifies the status and limitations of the methods or instruments; and an editable or computational file supports implementation. No single file replaces the decision dossier.</w:t>
      </w:r>
    </w:p>
    <w:p>
      <w:pPr>
        <w:pStyle w:val="Heading1"/>
      </w:pPr>
      <w:r>
        <w:t>Repository Navigation and Current Release</w:t>
      </w:r>
    </w:p>
    <w:p>
      <w:r>
        <w:t>This release retains the chapter-aligned worked examples, supplemental records, reference resources, and computational materials while adding several cross-cutting ways to locate, combine, and exchange them. The repository remains the canonical operational source; the printable companion explains what is available, why it is included, and how the resource layers should be used together.</w:t>
      </w:r>
    </w:p>
    <w:p>
      <w:pPr>
        <w:pStyle w:val="Heading2"/>
      </w:pPr>
      <w:r>
        <w:t>Master Decision Lifecycle and Decision Stages</w:t>
      </w:r>
    </w:p>
    <w:p>
      <w:r>
        <w:t>A ten-stage Master Institutional Decision Lifecycle links problem definition, readiness, evidence, economics, modelling, governance, procurement, implementation, circular value, and renewal or retirement. Readers can browse by chapter when they already know the subject area or by decision stage when a project spans several chapters. Each stage identifies recommended preceding records, primary and supporting resources, a typical output, and a decision gate. The sequence is iterative rather than linear: validation findings, procurement constraints, incidents, material changes, or new alternatives may require a return to an earlier stage.</w:t>
      </w:r>
    </w:p>
    <w:p>
      <w:pPr>
        <w:pStyle w:val="Heading2"/>
      </w:pPr>
      <w:r>
        <w:t>Process Maps and Browser-Editable Forms</w:t>
      </w:r>
    </w:p>
    <w:p>
      <w:r>
        <w:t>The GitHub Pages layer exposes the master lifecycle, 15 chapter process maps, resource-level process maps, browser-editable versions of the 24 canonical core resources and seven cross-cutting reference guides, a searchable catalog, and interactive synthetic worked examples. Browser forms are drafting and learning aids. They do not establish evidence quality, compliance, readiness, or approval, and their exports should be transferred into a governed institutional record before operational use.</w:t>
      </w:r>
    </w:p>
    <w:p>
      <w:pPr>
        <w:pStyle w:val="Heading2"/>
      </w:pPr>
      <w:r>
        <w:t>Python Analytics</w:t>
      </w:r>
    </w:p>
    <w:p>
      <w:r>
        <w:t>A dedicated Python Analytics browser supports selection among 39 reproducible scripts and notebooks. Modules cover data quality, validation, calibration, decision utility, costing, budget impact, simulation, uncertainty, value of information, forecasting, optimization, post-deployment monitoring, and circularity measurement. Each module links to synthetic inputs, spreadsheet templates, example outputs, and related worked cases. Method choice should follow the decision structure rather than the availability of code, and consequential results require verification, transparent assumptions, version control, and an archived static decision output.</w:t>
      </w:r>
    </w:p>
    <w:p>
      <w:pPr>
        <w:pStyle w:val="Heading2"/>
      </w:pPr>
      <w:r>
        <w:t>Consolidated Offline Bundles</w:t>
      </w:r>
    </w:p>
    <w:p>
      <w:r>
        <w:t>Two release-level bundles support committees, workshops, and teams working offline. The consolidated forms volume provides the 24 canonical core records in DOCX and ODT. The consolidated workbook provides an index and one worksheet per resource in XLSX and ODS. These are convenience editions: the individual resource folder remains the canonical source, and users should verify the resource ID and version before reusing an older completed record.</w:t>
      </w:r>
    </w:p>
    <w:p>
      <w:pPr>
        <w:pStyle w:val="Heading2"/>
      </w:pPr>
      <w:r>
        <w:t>Machine-Readable Records and Catalogs</w:t>
      </w:r>
    </w:p>
    <w:p>
      <w:r>
        <w:t>Each canonical core resource and the Chapter 11 local-validation resource includes a blank JSON record, a synthetic worked JSON record, and a JSON Schema. Synchronized JSON catalogs are also provided for the master resource catalog, Python modules, worked cases, resource relationships, and figures. These files support digital forms, software integration, automated validation, and future APIs, but they do not replace institutional governance, evidence review, or approval.</w:t>
      </w:r>
    </w:p>
    <w:p>
      <w:pPr>
        <w:pStyle w:val="Heading1"/>
        <w:keepNext w:val="true"/>
        <w:keepLines/>
        <w:pBdr>
          <w:bottom w:val="single" w:sz="8" w:space="4" w:color="B58A95"/>
        </w:pBdr>
        <w:rPr/>
      </w:pPr>
      <w:r>
        <w:t>How to Use the Companion</w:t>
      </w:r>
    </w:p>
    <w:p>
      <w:pPr>
        <w:pStyle w:val="Compact"/>
        <w:numPr>
          <w:ilvl w:val="0"/>
          <w:numId w:val="21"/>
        </w:numPr>
        <w:rPr/>
      </w:pPr>
      <w:r>
        <w:t>Begin with the institutional decision. Define the population, setting, accountable decision-maker, intended and excluded uses, comparator, time horizon, and consequence of error before selecting a file.</w:t>
      </w:r>
    </w:p>
    <w:p>
      <w:pPr>
        <w:pStyle w:val="Compact"/>
        <w:numPr>
          <w:ilvl w:val="0"/>
          <w:numId w:val="1"/>
        </w:numPr>
        <w:rPr/>
      </w:pPr>
      <w:r>
        <w:t>Read the aligned book chapter. The book remains the controlling source for conceptual claims, chapter structure, and the interpretation of the author-developed framework package.</w:t>
      </w:r>
    </w:p>
    <w:p>
      <w:pPr>
        <w:pStyle w:val="Compact"/>
        <w:numPr>
          <w:ilvl w:val="0"/>
          <w:numId w:val="1"/>
        </w:numPr>
        <w:rPr/>
      </w:pPr>
      <w:r>
        <w:t>Review the worked example. Identify the pathway from problem and comparator to evidence, cost, outcome, uncertainty, safeguards, and recommendation.</w:t>
      </w:r>
    </w:p>
    <w:p>
      <w:pPr>
        <w:pStyle w:val="Compact"/>
        <w:numPr>
          <w:ilvl w:val="0"/>
          <w:numId w:val="1"/>
        </w:numPr>
        <w:rPr/>
      </w:pPr>
      <w:r>
        <w:t>Select the smallest sufficient resource set. Avoid completing every form merely because it exists. Choose the records needed for the consequence, uncertainty, scale, and institutional dependence of the decision.</w:t>
      </w:r>
    </w:p>
    <w:p>
      <w:pPr>
        <w:pStyle w:val="Compact"/>
        <w:numPr>
          <w:ilvl w:val="0"/>
          <w:numId w:val="1"/>
        </w:numPr>
        <w:rPr/>
      </w:pPr>
      <w:r>
        <w:t>Create a governed local copy. Preserve the original resource identifier and release version, record the local owner, and work in an approved institutional location rather than the public repository.</w:t>
      </w:r>
    </w:p>
    <w:p>
      <w:pPr>
        <w:pStyle w:val="Compact"/>
        <w:numPr>
          <w:ilvl w:val="0"/>
          <w:numId w:val="1"/>
        </w:numPr>
        <w:rPr/>
      </w:pPr>
      <w:r>
        <w:t>Replace synthetic assumptions. Use current, authorized, versioned evidence. Mark unknowns explicitly and do not represent missing evidence as a neutral or average value.</w:t>
      </w:r>
    </w:p>
    <w:p>
      <w:pPr>
        <w:pStyle w:val="Compact"/>
        <w:numPr>
          <w:ilvl w:val="0"/>
          <w:numId w:val="1"/>
        </w:numPr>
        <w:rPr/>
      </w:pPr>
      <w:r>
        <w:t>Complete multidisciplinary review. Clinical, operational, patient, technical, economic, quality, privacy, cybersecurity, procurement, legal, and governance input should be proportionate to the decision.</w:t>
      </w:r>
    </w:p>
    <w:p>
      <w:pPr>
        <w:pStyle w:val="Compact"/>
        <w:numPr>
          <w:ilvl w:val="0"/>
          <w:numId w:val="1"/>
        </w:numPr>
        <w:rPr/>
      </w:pPr>
      <w:r>
        <w:t>Separate observations, modelled estimates, value judgements, and contractual claims. This distinction improves traceability and prevents unsupported certainty.</w:t>
      </w:r>
    </w:p>
    <w:p>
      <w:pPr>
        <w:pStyle w:val="Compact"/>
        <w:numPr>
          <w:ilvl w:val="0"/>
          <w:numId w:val="1"/>
        </w:numPr>
        <w:rPr/>
      </w:pPr>
      <w:r>
        <w:t>End with an accountable decision. Record the selected and rejected options, conditions, indicators, thresholds, owners, review date, trigger events, and exit route.</w:t>
      </w:r>
    </w:p>
    <w:p>
      <w:pPr>
        <w:pStyle w:val="Compact"/>
        <w:numPr>
          <w:ilvl w:val="0"/>
          <w:numId w:val="1"/>
        </w:numPr>
        <w:rPr/>
      </w:pPr>
      <w:r>
        <w:t>Maintain the record after deployment. Update the dossier after incidents, material changes, new evidence, price changes, altered workflows, renewal, restriction, replacement, or retirement.</w:t>
      </w:r>
    </w:p>
    <w:p>
      <w:pPr>
        <w:pStyle w:val="Heading1"/>
        <w:keepNext w:val="true"/>
        <w:keepLines/>
        <w:pBdr>
          <w:bottom w:val="single" w:sz="8" w:space="4" w:color="B58A95"/>
        </w:pBdr>
        <w:rPr/>
      </w:pPr>
      <w:r>
        <w:t>Common Institutional Record</w:t>
      </w:r>
    </w:p>
    <w:p>
      <w:pPr>
        <w:pStyle w:val="FirstParagraph"/>
        <w:rPr/>
      </w:pPr>
      <w:r>
        <w:t>The following fields apply across the chapter resources and are presented once here to avoid repeating the same generic template in every chapter.</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Field</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Minimum entry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and authority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to be made; accountable sponsor; decision owner; approval, escalation, and stopping authority.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Population and setting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Included and excluded populations, sites, services, users, and time period.</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Problem, baseline, and comparator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pathway, burden, variation, unmet need, and all realistic AI and non-AI alternatives.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 boundary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 model or method, interface, people, workflow, capacity, implementation, monitoring, vendor support, and exit.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version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Sources, dates, exact system and software version, applicability, confidence, gaps, assumptions, and evidence cut-off.</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Costs and consequences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Perspective, budget holder, resource use, outcomes, workload, distribution, opportunity cost, and residual value where relevant.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Mandatory safeguards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Patient safety, lawful data use, privacy, cybersecurity, equity, accessibility, meaningful oversight, continuity, and contestability.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conditions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Proceed, redesign, restrict, pilot, defer, replace, or retire criteria; milestones; contractual duties; and review date.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Monitoring and closure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Indicators, thresholds, triggers, responsible owners, material-change route, renewal decision, transition, data closure, and lessons.</w:t>
            </w:r>
          </w:p>
        </w:tc>
      </w:tr>
    </w:tbl>
    <w:p>
      <w:pPr>
        <w:pStyle w:val="Heading2"/>
        <w:keepNext w:val="true"/>
        <w:keepLines/>
        <w:pBdr>
          <w:bottom w:val="single" w:sz="8" w:space="4" w:color="B58A95"/>
        </w:pBdr>
        <w:rPr/>
      </w:pPr>
      <w:r>
        <w:t>Standard Decision Statement</w:t>
      </w:r>
    </w:p>
    <w:p>
      <w:pPr>
        <w:pStyle w:val="BlockText"/>
        <w:rPr/>
      </w:pPr>
      <w:r>
        <w:t>For the specified decision problem and comparator set, the institution should [proceed / proceed with conditions / redesign / pilot / restrict / defer / replace / retire]. The decision applies to [population, setting, system and version, and evidence period], is owned by [accountable authority], and will be reviewed on [date] or earlier if [trigger events] occur. The evidence, assumptions, unresolved uncertainty, mandatory safeguards, monitoring thresholds, material-change route, and exit arrangements are recorded in the accompanying dossier.</w:t>
      </w:r>
    </w:p>
    <w:p>
      <w:pPr>
        <w:pStyle w:val="Heading1"/>
        <w:keepNext w:val="true"/>
        <w:keepLines/>
        <w:pBdr>
          <w:bottom w:val="single" w:sz="8" w:space="4" w:color="B58A95"/>
        </w:pBdr>
        <w:rPr/>
      </w:pPr>
      <w:r>
        <w:t>Reader Pathways</w:t>
      </w:r>
    </w:p>
    <w:p>
      <w:pPr>
        <w:pStyle w:val="BodyText"/>
      </w:pPr>
      <w:r>
        <w:t>The reader-facing navigation begins with five goals: understand the approach, make an institutional decision, use a template or workbook, run an analysis, and learn through a worked case.</w:t>
      </w:r>
    </w:p>
    <w:p>
      <w:pPr>
        <w:pStyle w:val="BodyText"/>
      </w:pPr>
      <w:r>
        <w:t>Resources are classified as introductory, applied, advanced, or technical. The Web Companion emphasizes core records, worked cases, the common case-analysis method, and reference guides; machine-readable files and analytical modules remain available through the advanced view.</w:t>
      </w:r>
    </w:p>
    <w:p>
      <w:pPr>
        <w:pStyle w:val="BodyText"/>
      </w:pPr>
      <w:r>
        <w:t>A separate Reader and Practitioner Edition provides the guided entry files, pathways, consolidated forms and workbooks, worked examples, reference guides, analytics catalog, printable companion, and offline web layer without exposing the complete technical source tree. The full GitHub repository remains the canonical source for maintenance, reproducibility, integration, and publication.</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Reader group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Suggested route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Principal use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Boards, executives, and senior managers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Chapters 1–3, 5–9, and 12–15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Problem definition, portfolio priorities, evidence, lifecycle cost, procurement, governance, renewal, and sustainable value.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nursing, allied-health, quality, and patient-safety leaders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Chapters 3–5 and 10–12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 oversight, workflow, quality control, patient safety, incident response, and continuing assurance.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Health economists, HTA specialists, finance teams, payers, and commissioners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Chapters 1 and 6–9, followed by 11 and 15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Costing, pricing, ROI, cost-effectiveness, budget impact, affordability, uncertainty, and circularity-adjusted value.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Digital health, informatics, data, and implementation teams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Chapters 2–4, 8, 11, and 12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 readiness, interoperability, validation, modelling, implementation, monitoring, and reproducibility.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Ethics, legal, privacy, cybersecurity, and institutional-assurance teams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Chapters 2, 3, and 9–12</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Lawful use, rights, accountability, risk, audit, accessibility, contestability, and stopping authority.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Procurement, supply chain, biomedical engineering, asset management, and sustainability teams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Chapters 6, 9, and 12–15</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Contracts, supportability, maintenance, repair, refurbishment, residual value, take-back, and disposition.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Researchers, educators, students, and professional learners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Begin with Chapters 1, 7, 8, and 10–12, then use the relevant case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Research design, appraisal, causal evaluation, modelling, governance analysis, workshops, and reproducible exercises.</w:t>
            </w:r>
            <w:bookmarkStart w:id="12" w:name="reader-pathways"/>
            <w:bookmarkEnd w:id="12"/>
          </w:p>
        </w:tc>
      </w:tr>
    </w:tbl>
    <w:p>
      <w:pPr>
        <w:pStyle w:val="Heading1"/>
        <w:keepNext w:val="true"/>
        <w:keepLines/>
        <w:pBdr>
          <w:bottom w:val="single" w:sz="8" w:space="4" w:color="B58A95"/>
        </w:pBdr>
        <w:rPr/>
      </w:pPr>
      <w:r>
        <w:t>Current Book and Companion Structure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Part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Title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Aligned chapters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Part 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Managerial and Economic Foundations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 AI as a Health-System Intervention; Chapter 2: Institutional Readiness and Digital Foundations; Chapter 3: Human–AI Decision Support and Managerial Action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Part II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Organizational Performance, Workforce, and Quality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4: Productivity, Workforce Redesign, and Implementation; Chapter 5: Quality, Accreditation, and Organizational Learning</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Part III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Evaluation, Decision Modelling, and Procurement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6: Lifecycle Cost, Pricing, and Benefit Realization; Chapter 7: Economic Evaluation, Affordability, and HTA; Chapter 8: Decision Modelling and Simulation Under Uncertainty; Chapter 9: Problem-First Procurement and Vendor Governance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Part IV</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Governance, Evidence, and Lifecycle Decision-Making</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10: Governance, Accountability, and Institutional Risk; Chapter 11: Evidence, Validation, and Real-World Evaluation; Chapter 12: Decision Architecture and Lifecycle Governance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Part V</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Economy and Sustainable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13: Circular Health Systems and Resource Stewardship; Chapter 14: Circular Procurement and Asset Stewardship; Chapter 15: Circularity-Adjusted Evaluation and Sustainable Value</w:t>
            </w:r>
          </w:p>
        </w:tc>
      </w:tr>
    </w:tbl>
    <w:p>
      <w:pPr>
        <w:pStyle w:val="Heading1"/>
        <w:keepNext w:val="true"/>
        <w:keepLines/>
        <w:pBdr>
          <w:bottom w:val="single" w:sz="8" w:space="4" w:color="B58A95"/>
        </w:pBdr>
        <w:rPr/>
      </w:pPr>
      <w:r>
        <w:t>File Formats and Repository Structure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Format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Typical purpose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Selection guidance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DOCX / ODT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Narrative records, committee papers, protocols, assurance notes, and local guidance.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when explanation, review comments, approvals, and versioned prose are central.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XLSX / ODS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Registers, scoring tables, cost logs, repeated records, scenarios, and dashboards.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when rows are updated over time or calculations and filters are needed.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CSV / JSON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Structured exchange, audit trails, schemas, and reproducible data workflows.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for controlled interchange and machine-readable records; keep a human-readable decision record alongside them.</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Markdown / Mermaid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documentation, process descriptions, and editable flow diagrams.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for version-controlled guidance and transparent process maps.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SVG / PNG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Scalable and raster process visuals.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SVG for editable publication graphics and PNG for broad compatibility.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Python / Jupyter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Reproducible validation, costing, simulation, uncertainty analysis, monitoring, and circularity calculations.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only within an approved analytic environment with versioned inputs, code, tests, and outputs.</w:t>
            </w:r>
          </w:p>
        </w:tc>
      </w:tr>
    </w:tbl>
    <w:p>
      <w:pPr>
        <w:pStyle w:val="BodyText"/>
        <w:rPr/>
      </w:pPr>
      <w:r>
        <w:t>A typical repository path is:</w:t>
      </w:r>
    </w:p>
    <w:p>
      <w:pPr>
        <w:pStyle w:val="SourceCode"/>
        <w:rPr/>
      </w:pPr>
      <w:r>
        <w:t>digital-resource-companion/</w:t>
        <w:br/>
        <w:t>├── README.md, GETTING_STARTED.md, BOOK_STRUCTURE.md, and RESOURCE_INDEX.md</w:t>
        <w:br/>
        <w:t>├── chapters/          Core records, guides, analytical modules, and chapter process maps</w:t>
        <w:br/>
        <w:t>├── worked_examples/   Canonical worked cases and the common case-analysis method</w:t>
        <w:br/>
        <w:t>├── process/           Master lifecycle, decision stages, and dependency maps</w:t>
        <w:br/>
        <w:t>├── bundles/           Consolidated forms and workbooks</w:t>
        <w:br/>
        <w:t>├── publications/      Definitive printable companion</w:t>
        <w:br/>
        <w:t>├── catalogs/          Resource, case, analytical, relationship, and figure catalogs</w:t>
        <w:br/>
        <w:t>└── docs/              GitHub Pages website</w:t>
      </w:r>
    </w:p>
    <w:p>
      <w:pPr>
        <w:pStyle w:val="FirstParagraph"/>
        <w:rPr/>
      </w:pPr>
      <w:r>
        <w:t>The stable resource identifier, not the file path alone, should be recorded in institutional work. Folders and filenames may change between releases; the resource identifier, version, title, and release date provide the traceable citation.</w:t>
      </w:r>
    </w:p>
    <w:p>
      <w:pPr>
        <w:pStyle w:val="Heading1"/>
        <w:keepNext w:val="true"/>
        <w:keepLines/>
        <w:pBdr>
          <w:bottom w:val="single" w:sz="8" w:space="4" w:color="B58A95"/>
        </w:pBdr>
        <w:rPr/>
      </w:pPr>
      <w:r>
        <w:t>Cross-Cutting Reference Guides</w:t>
      </w:r>
    </w:p>
    <w:p>
      <w:pPr>
        <w:pStyle w:val="FirstParagraph"/>
        <w:rPr/>
      </w:pPr>
      <w:r>
        <w:t>The cross-cutting guides address questions that recur across chapters and are especially likely to change as law, standards, reporting guidance, software practice, and institutional policy evolve.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436"/>
        <w:gridCol w:w="2436"/>
        <w:gridCol w:w="2437"/>
        <w:gridCol w:w="2436"/>
      </w:tblGrid>
      <w:tr>
        <w:trPr>
          <w:tblHeader w:val="true"/>
        </w:trPr>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ID</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Guide</w:t>
            </w:r>
          </w:p>
        </w:tc>
        <w:tc>
          <w:tcPr>
            <w:tcW w:w="2437"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Primary alignment</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AIHE-RG01</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Framework Status and Selection Guide</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Distinguish legal instruments, standards, guidance, reporting guidelines, appraisal tools, implementation frameworks, and author-developed decision aids; select them according to function and authority.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12; aligned 2, 4, 5, 7, 9-12</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AIHE-RG02</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and Appraisal Tool Selection Guide</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Match evidence type and study stage to current reporting and appraisal instruments without treating checklist completion as proof of validity, effectiveness, or regulatory conformity.</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11; aligned 7, 8, 11</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AIHE-RG03</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Framework Selection Guide</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 CFIR, NASSS-CAT, RE-AIM/PRISM, TAM/UTAUT, and mixed-method approaches according to the implementation question rather than name recognition.</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4; aligned 4, 11, 12</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AIHE-RG04</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Regulatory, Standards, and Policy Update Register</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 date-stamped records for European, Romanian, and global legal, policy, standards, reimbursement, and guidance sources whose scope or implementation status may change.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10; aligned 2, 5, 7, 9, 10, 12-15</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AIHE-RG05</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Scenario Planning and Real-Options Worksheet</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Examine uncertainty through alternative futures, thresholds, staged commitments, learning options, contract flexibility, and explicit exit criteria.</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8; aligned 1, 6-9, 12, 15</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AIHE-RG06</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Diagnostic and Predictive Evidence Appraisal Checklist</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Appraise reference standards, index tests, data partitions, calibration, diagnostic accuracy, bias, subgroup performance, clinical utility, and downstream resource consequences.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11; aligned 3, 7, 8, 11</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AIHE-RG07</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Common AI Adoption Failures and Corrective Actions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Identify recurring technology-led, economic, workflow, evidence, governance, procurement, and lifecycle failures and record preventive controls.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 aligned 1-12</w:t>
            </w:r>
          </w:p>
        </w:tc>
      </w:tr>
    </w:tbl>
    <w:p>
      <w:pPr>
        <w:pStyle w:val="BodyText"/>
        <w:rPr/>
      </w:pPr>
      <w:r>
        <w:t>A guide organizes selection and documentation; it does not certify compliance, methodological quality, safety, effectiveness, cost-effectiveness, or readiness.</w:t>
      </w:r>
    </w:p>
    <w:p>
      <w:pPr>
        <w:pStyle w:val="Heading1"/>
        <w:keepNext w:val="true"/>
        <w:keepLines/>
        <w:pBdr>
          <w:bottom w:val="single" w:sz="8" w:space="4" w:color="B58A95"/>
        </w:pBdr>
        <w:rPr/>
      </w:pPr>
      <w:r>
        <w:t>Version Control, Data Protection, and Citation</w:t>
      </w:r>
    </w:p>
    <w:p>
      <w:pPr>
        <w:pStyle w:val="Compact"/>
        <w:numPr>
          <w:ilvl w:val="0"/>
          <w:numId w:val="2"/>
        </w:numPr>
        <w:rPr/>
      </w:pPr>
      <w:r>
        <w:t>Download or clone a versioned release and retain the unmodified source copy.</w:t>
      </w:r>
    </w:p>
    <w:p>
      <w:pPr>
        <w:pStyle w:val="Compact"/>
        <w:numPr>
          <w:ilvl w:val="0"/>
          <w:numId w:val="2"/>
        </w:numPr>
        <w:rPr/>
      </w:pPr>
      <w:r>
        <w:t>Record the resource identifier, title, version, release date, date accessed, and local modification date.</w:t>
      </w:r>
    </w:p>
    <w:p>
      <w:pPr>
        <w:pStyle w:val="Compact"/>
        <w:numPr>
          <w:ilvl w:val="0"/>
          <w:numId w:val="2"/>
        </w:numPr>
        <w:rPr/>
      </w:pPr>
      <w:r>
        <w:t>Maintain a change log identifying the field or formula changed, the reason, the owner, the evidence source, and whether reapproval is required.</w:t>
      </w:r>
    </w:p>
    <w:p>
      <w:pPr>
        <w:pStyle w:val="Compact"/>
        <w:numPr>
          <w:ilvl w:val="0"/>
          <w:numId w:val="2"/>
        </w:numPr>
        <w:rPr/>
      </w:pPr>
      <w:r>
        <w:t>Record the exact model, software, data, interface, prompt, threshold, and workflow version when they affect the decision.</w:t>
      </w:r>
    </w:p>
    <w:p>
      <w:pPr>
        <w:pStyle w:val="Compact"/>
        <w:numPr>
          <w:ilvl w:val="0"/>
          <w:numId w:val="2"/>
        </w:numPr>
        <w:rPr/>
      </w:pPr>
      <w:r>
        <w:t>Do not enter identifiable patient information, credentials, private keys, confidential contracts, or restricted institutional data into public or uncontrolled copies.</w:t>
      </w:r>
    </w:p>
    <w:p>
      <w:pPr>
        <w:pStyle w:val="Compact"/>
        <w:numPr>
          <w:ilvl w:val="0"/>
          <w:numId w:val="2"/>
        </w:numPr>
        <w:rPr/>
      </w:pPr>
      <w:r>
        <w:t>Store completed resources according to institutional retention, access, audit, and incident-response requirements.</w:t>
      </w:r>
    </w:p>
    <w:p>
      <w:pPr>
        <w:pStyle w:val="Compact"/>
        <w:numPr>
          <w:ilvl w:val="0"/>
          <w:numId w:val="2"/>
        </w:numPr>
        <w:rPr/>
      </w:pPr>
      <w:r>
        <w:t>Cite both the book and the specific companion release used. A local adaptation should be described as an adaptation rather than represented as the unchanged published resource.</w:t>
      </w:r>
    </w:p>
    <w:p>
      <w:pPr>
        <w:pStyle w:val="Compact"/>
        <w:numPr>
          <w:ilvl w:val="0"/>
          <w:numId w:val="2"/>
        </w:numPr>
        <w:rPr/>
      </w:pPr>
      <w:r>
        <w:t>GitHub supports the active working repository; Zenodo or another archival repository should hold citable, immutable releases. Use the DOI and repository URL shown on the release page.</w:t>
      </w:r>
    </w:p>
    <w:p>
      <w:pPr>
        <w:pStyle w:val="Heading1"/>
        <w:keepNext w:val="true"/>
        <w:keepLines/>
        <w:pBdr>
          <w:bottom w:val="single" w:sz="8" w:space="4" w:color="B58A95"/>
        </w:pBdr>
        <w:rPr/>
      </w:pPr>
      <w:r>
        <w:t>Status Taxonomy for External and Author-Developed Instruments</w:t>
      </w:r>
    </w:p>
    <w:p>
      <w:pPr>
        <w:pStyle w:val="Compact"/>
        <w:numPr>
          <w:ilvl w:val="0"/>
          <w:numId w:val="22"/>
        </w:numPr>
        <w:rPr/>
      </w:pPr>
      <w:r>
        <w:t>Law or regulation: establishes binding obligations within its jurisdiction and scope.</w:t>
      </w:r>
    </w:p>
    <w:p>
      <w:pPr>
        <w:pStyle w:val="Compact"/>
        <w:numPr>
          <w:ilvl w:val="0"/>
          <w:numId w:val="23"/>
        </w:numPr>
        <w:rPr/>
      </w:pPr>
      <w:r>
        <w:t>Standard or management system: structures repeatable practices or requirements but does not replace legal interpretation or local evidence.</w:t>
      </w:r>
    </w:p>
    <w:p>
      <w:pPr>
        <w:pStyle w:val="Compact"/>
        <w:numPr>
          <w:ilvl w:val="0"/>
          <w:numId w:val="24"/>
        </w:numPr>
        <w:rPr/>
      </w:pPr>
      <w:r>
        <w:t>Reporting guideline: improves transparency of a report; completion does not prove methodological validity or effectiveness.</w:t>
      </w:r>
    </w:p>
    <w:p>
      <w:pPr>
        <w:pStyle w:val="Compact"/>
        <w:numPr>
          <w:ilvl w:val="0"/>
          <w:numId w:val="25"/>
        </w:numPr>
        <w:rPr/>
      </w:pPr>
      <w:r>
        <w:t>Appraisal tool: supports critical review of bias and applicability; it does not make the institutional decision.</w:t>
      </w:r>
    </w:p>
    <w:p>
      <w:pPr>
        <w:pStyle w:val="Compact"/>
        <w:numPr>
          <w:ilvl w:val="0"/>
          <w:numId w:val="26"/>
        </w:numPr>
        <w:rPr/>
      </w:pPr>
      <w:r>
        <w:t>Implementation framework or theory: organizes determinants, processes, outcomes, context, or acceptance questions.</w:t>
      </w:r>
    </w:p>
    <w:p>
      <w:pPr>
        <w:pStyle w:val="Compact"/>
        <w:numPr>
          <w:ilvl w:val="0"/>
          <w:numId w:val="27"/>
        </w:numPr>
        <w:rPr/>
      </w:pPr>
      <w:r>
        <w:t>Data or interoperability specification: supports exchange or analysis but does not establish semantic consistency, data fitness, or readiness by itself.</w:t>
      </w:r>
    </w:p>
    <w:p>
      <w:pPr>
        <w:pStyle w:val="Compact"/>
        <w:numPr>
          <w:ilvl w:val="0"/>
          <w:numId w:val="28"/>
        </w:numPr>
        <w:rPr/>
      </w:pPr>
      <w:r>
        <w:t>Author-developed framework or process: a proposed decision aid requiring explicit status, versioning, limitations, and independent evaluation before standardized use.</w:t>
      </w:r>
    </w:p>
    <w:p>
      <w:pPr>
        <w:pStyle w:val="FirstParagraph"/>
        <w:rPr/>
      </w:pPr>
      <w:r>
        <w:t>Select each instrument for a defined question, document why it was chosen, and verify its current edition and jurisdictional status before use.</w:t>
      </w:r>
    </w:p>
    <w:p>
      <w:pPr>
        <w:pStyle w:val="Heading1"/>
        <w:keepNext w:val="true"/>
        <w:keepLines/>
        <w:pBdr>
          <w:bottom w:val="single" w:sz="8" w:space="4" w:color="B58A95"/>
        </w:pBdr>
        <w:rPr/>
      </w:pPr>
      <w:r>
        <w:t>Part I: Managerial and Economic Foundations</w:t>
      </w:r>
    </w:p>
    <w:p>
      <w:pPr>
        <w:pStyle w:val="FirstParagraph"/>
        <w:rPr/>
      </w:pPr>
      <w:r>
        <w:t>This Part establishes the managerial and economic problem, the institutional foundations required for action, and the design of human–AI decision support.</w:t>
      </w:r>
    </w:p>
    <w:p>
      <w:pPr>
        <w:pStyle w:val="Heading2"/>
        <w:keepNext w:val="true"/>
        <w:keepLines/>
        <w:pBdr>
          <w:bottom w:val="single" w:sz="8" w:space="4" w:color="B58A95"/>
        </w:pBdr>
        <w:rPr/>
      </w:pPr>
      <w:r>
        <w:t>Chapter 1: AI as a Health-System Intervention</w:t>
      </w:r>
    </w:p>
    <w:p>
      <w:pPr>
        <w:pStyle w:val="Heading3"/>
        <w:keepNext w:val="true"/>
        <w:keepLines/>
        <w:rPr/>
      </w:pPr>
      <w:r>
        <w:t>Chapter Orientation</w:t>
      </w:r>
    </w:p>
    <w:p>
      <w:pPr>
        <w:pStyle w:val="FirstParagraph"/>
        <w:rPr/>
      </w:pPr>
      <w:r>
        <w:t>Chapter 1 establishes the companion’s governing unit of analysis: the complete health-system intervention rather than the model alone. The resources help a team define the service problem, compare AI and non-AI alternatives, identify the causal path from information to action and value, and preserve the ability to change or stop the decision.</w:t>
      </w:r>
    </w:p>
    <w:p>
      <w:pPr>
        <w:pStyle w:val="BodyText"/>
        <w:rPr/>
      </w:pPr>
      <w:r>
        <w:t>Use this suite at project intake, portfolio prioritization, and before market engagement. It is especially useful when a proposal begins with a product claim rather than a documented problem, or when different departments are using inconsistent assumptions about scope, comparator, outcomes, ownership, and opportunity cost.</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Emergency-Triage Intervention Portfolio</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 Specification; Comparator and Opportunity-Cost Record; Decision Conditions and Review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 bundle, Comparator, Public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bl>
    <w:p>
      <w:pPr>
        <w:pStyle w:val="Heading3"/>
        <w:keepNext w:val="true"/>
        <w:keepLines/>
        <w:rPr/>
      </w:pPr>
      <w:r>
        <w:t>Worked Example: Emergency-Triage Intervention Portfolio</w:t>
      </w:r>
    </w:p>
    <w:p>
      <w:pPr>
        <w:pStyle w:val="Heading4"/>
        <w:keepNext w:val="true"/>
        <w:keepLines/>
        <w:rPr/>
      </w:pPr>
      <w:r>
        <w:t>Purpose and Status</w:t>
      </w:r>
    </w:p>
    <w:p>
      <w:pPr>
        <w:pStyle w:val="FirstParagraph"/>
        <w:rPr/>
      </w:pPr>
      <w:r>
        <w:t>A regional public hospital is considering an AI-supported emergency-triage service after repeated crowding, prolonged time to first clinical assessment, and concern about delayed recognition of deteriorating patients. The proposal must be assessed as a complete intervention rather than as a prediction model.</w:t>
      </w:r>
    </w:p>
    <w:p>
      <w:pPr>
        <w:pStyle w:val="Heading4"/>
        <w:keepNext w:val="true"/>
        <w:keepLines/>
        <w:rPr/>
      </w:pPr>
      <w:r>
        <w:t>Decision Problem and Comparators</w:t>
      </w:r>
    </w:p>
    <w:p>
      <w:pPr>
        <w:pStyle w:val="FirstParagraph"/>
        <w:rPr/>
      </w:pPr>
      <w:r>
        <w:t>Decision problem. Should the hospital pilot an AI-supported triage pathway, strengthen the current pathway through staffing and protocol redesign, or adopt a lower-complexity rules-based alternative?</w:t>
      </w:r>
    </w:p>
    <w:p>
      <w:pPr>
        <w:pStyle w:val="BodyText"/>
        <w:rPr/>
      </w:pPr>
      <w:r>
        <w:t>Table: Comparators for the Chapter 1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triage with existing staffing</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Additional triage staffing during peak periods</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Registration and streaming redesign</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conventional rules-based early-warning score</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AI-supported prioritization with human confirmation</w:t>
            </w:r>
            <w:bookmarkStart w:id="31" w:name="decision-problem-and-comparators"/>
            <w:bookmarkEnd w:id="31"/>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eligible attendances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72,000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activity report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median time to first assessment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84 minutes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Emergency-department dashboard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High-risk event prevalence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Retrospective cohort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sensitivity at proposed threshold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0.88</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External evidence; local verification required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specificity at proposed threshold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0.72</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External evidence; local verification required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annual programme cost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310,000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lifecycle-cost estimate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Available additional rapid-assessment capacity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 patients/day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Workforce and space assessment</w:t>
            </w:r>
            <w:bookmarkStart w:id="32" w:name="X3c67a1c516288aa4c3e3627250d6b0b9314e728"/>
            <w:bookmarkEnd w:id="32"/>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Map the present pathway and identify the decision window in which prioritization could still change care.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all realistic alternatives before assigning value to the AI option.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Represent the intervention bundle: data availability, interface, triage-nurse review, escalation, rapid-assessment capacity, monitoring, and fallback.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 false-positive workload and false-negative consequences at the proposed threshold.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Test whether downstream capacity can absorb the additional patients identified as high risk.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a reversible pilot with clinical, operational, economic, equity, and trust indicators.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high-risk alerts per day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Approximately 67</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Includes true and false positive alerts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Additional patients requiring rapid review</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Approximately 35/day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Exceeds currently available capacity without redesign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Primary value mechanism</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Earlier review of high-risk patients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Dependent on response capacity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 economic risk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Unusable alerts and displaced staff time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May increase rather than reduce delay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initial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Redesign and limited pilot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unrestricted deployment</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Proceed only with a redesigned, time-limited pilot that adds response capacity and compares the AI pathway with a staffing-and-streaming alternative. The model should remain advisory, with triage-nurse confirmation and a documented fallback.</w:t>
      </w:r>
    </w:p>
    <w:p>
      <w:pPr>
        <w:pStyle w:val="Compact"/>
        <w:numPr>
          <w:ilvl w:val="0"/>
          <w:numId w:val="29"/>
        </w:numPr>
        <w:rPr/>
      </w:pPr>
      <w:r>
        <w:t>complete local calibration and silent-mode evaluation.</w:t>
      </w:r>
    </w:p>
    <w:p>
      <w:pPr>
        <w:pStyle w:val="Compact"/>
        <w:numPr>
          <w:ilvl w:val="0"/>
          <w:numId w:val="30"/>
        </w:numPr>
        <w:rPr/>
      </w:pPr>
      <w:r>
        <w:t>demonstrate that rapid-assessment capacity can absorb expected alert volume.</w:t>
      </w:r>
    </w:p>
    <w:p>
      <w:pPr>
        <w:pStyle w:val="Compact"/>
        <w:numPr>
          <w:ilvl w:val="0"/>
          <w:numId w:val="31"/>
        </w:numPr>
        <w:rPr/>
      </w:pPr>
      <w:r>
        <w:t>define subgroup and balancing measures, including delay among patients deprioritised by the system.</w:t>
      </w:r>
    </w:p>
    <w:p>
      <w:pPr>
        <w:pStyle w:val="Compact"/>
        <w:numPr>
          <w:ilvl w:val="0"/>
          <w:numId w:val="32"/>
        </w:numPr>
        <w:rPr/>
      </w:pPr>
      <w:r>
        <w:t>cap total pilot expenditure and preserve the ability to stop without service disruption.</w:t>
      </w:r>
    </w:p>
    <w:p>
      <w:pPr>
        <w:pStyle w:val="Compact"/>
        <w:numPr>
          <w:ilvl w:val="0"/>
          <w:numId w:val="33"/>
        </w:numPr>
        <w:rPr/>
      </w:pPr>
      <w:r>
        <w:t>review at 8 and 16 weeks using predefined proceed, redesign, restrict, or stop criteria.</w:t>
      </w:r>
    </w:p>
    <w:p>
      <w:pPr>
        <w:pStyle w:val="Heading3"/>
        <w:keepNext w:val="true"/>
        <w:keepLines/>
        <w:rPr/>
      </w:pPr>
      <w:r>
        <w:t>Supplemental Resources</w:t>
      </w:r>
    </w:p>
    <w:p>
      <w:pPr>
        <w:pStyle w:val="FirstParagraph"/>
        <w:rPr/>
      </w:pPr>
      <w:r>
        <w:t>These supplemental resources translate the Chapter 1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 Specification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Comparator and Opportunity-Cost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Conditions and Review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Intervention Specification</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Comparator and Opportunity-Cost Record</w:t>
      </w:r>
    </w:p>
    <w:p>
      <w:pPr>
        <w:pStyle w:val="FirstParagraph"/>
        <w:rPr/>
      </w:pPr>
      <w:r>
        <w:t>The following sequence converts findings into accountable action. The local record should name the responsible person for each activity, the completion date, the evidence of completion, and any residual uncertainty. - Map the present pathway and identify the decision window in which prioritization could still change care. - Compare all realistic alternatives before assigning value to the AI option. - Represent the intervention bundle: data availability, interface, triage-nurse review, escalation, rapid-assessment capacity, monitoring, and fallback. - Estimate false-positive workload and false-negative consequences at the proposed threshold. - Test whether downstream capacity can absorb the additional patients identified as high risk. - Define a reversible pilot with clinical, operational, economic, equity, and trust indicators.</w:t>
      </w:r>
    </w:p>
    <w:p>
      <w:pPr>
        <w:pStyle w:val="Heading4"/>
        <w:keepNext w:val="true"/>
        <w:keepLines/>
        <w:rPr/>
      </w:pPr>
      <w:r>
        <w:t>Decision Conditions and Review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 bundle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data, interface, people, workflow, capacity, governance, monitoring, and exit.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Comparator</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best realistic alternative use of the same resources.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Public value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economic, organizational, equity, legitimacy, and stewardship effects considered together.</w:t>
            </w:r>
            <w:bookmarkStart w:id="43" w:name="key-terms"/>
            <w:bookmarkEnd w:id="43"/>
          </w:p>
        </w:tc>
      </w:tr>
    </w:tbl>
    <w:p>
      <w:pPr>
        <w:pStyle w:val="Heading4"/>
        <w:keepNext w:val="true"/>
        <w:keepLines/>
        <w:rPr/>
      </w:pPr>
      <w:r>
        <w:t>Status and Appropriate Use of Selected Instruments</w:t>
      </w:r>
    </w:p>
    <w:p>
      <w:pPr>
        <w:pStyle w:val="FirstParagraph"/>
        <w:rPr/>
      </w:pPr>
      <w:r>
        <w:t>Table: Selected instruments relevant to Chapter 1</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Health-system intervention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Analytical framing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Defines the complete unit of analysis.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Value chain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Causal map</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Shows where capability may be converted into or lose value.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evaluation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Method family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Compares costs and outcomes relative to a comparator.</w:t>
            </w:r>
          </w:p>
        </w:tc>
      </w:tr>
    </w:tbl>
    <w:p>
      <w:pPr>
        <w:pStyle w:val="Heading4"/>
        <w:keepNext w:val="true"/>
        <w:keepLines/>
        <w:rPr/>
      </w:pPr>
      <w:r>
        <w:t>Formula and Interpretation Note</w:t>
      </w:r>
    </w:p>
    <w:p>
      <w:pPr>
        <w:pStyle w:val="FirstParagraph"/>
        <w:rPr/>
      </w:pPr>
      <w:r>
        <w:t>The following relationship is used in Chapter 1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AIHE-CASE01 — Emergency-Department Triage Portfolio Decision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Which intervention should the hospital test first when AI, staffing, and process redesign compete for the same limited resources?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AIHE-A01 — Decision and Use-Case Specification</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service problem, full intervention, realistic comparators, outcomes, value mechanism, decision rule, and review cycle.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AIHE-A02 — Stakeholders, Decision Rights, and Participation</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Identify affected parties, decision rights, participation duties, evidence contributions, and escalation authority.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AIHE-RG07 — Common AI Adoption Failures and Corrective Actions</w:t>
            </w:r>
            <w:r>
              <w:rPr>
                <w:rFonts w:cs=""/>
                <w:kern w:val="0"/>
                <w:sz w:val="16"/>
                <w:szCs w:val="24"/>
                <w:lang w:val="en-GB" w:eastAsia="en-US" w:bidi="ar-SA"/>
              </w:rPr>
              <w:t xml:space="preserve"> Reference guide; docx; odt; xlsx; ods; csv; json;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Identify recurring technology-led, economic, workflow, evidence, governance, procurement, and lifecycle failures and record preventive controls.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AIHE-EX01 — Project Intake and Stakeholder Register</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Capture the initiating problem, project scope, accountable owners, affected groups, and decision rights.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AIHE-W — AI Use-Case Canvas</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problem, population, intended users, intervention bundle, comparator, outcomes, and initial risks.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AIHE-X — Decision Problem Template</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Specify population, intervention, comparator, outcomes, perspective, setting, time horizon, and decision rule.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AIHE-CASE00 — Common Case-Analysis Method</w:t>
            </w:r>
            <w:r>
              <w:rPr>
                <w:rFonts w:cs=""/>
                <w:kern w:val="0"/>
                <w:sz w:val="16"/>
                <w:szCs w:val="24"/>
                <w:lang w:val="en-GB" w:eastAsia="en-US" w:bidi="ar-SA"/>
              </w:rPr>
              <w:t xml:space="preserve"> Case-analysis method; md; docx; odt; xlsx; ods; csv; json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 a consistent problem-first, evidence, economic, governance, and lifecycle method for analysing worked and local cases.</w:t>
            </w:r>
          </w:p>
        </w:tc>
      </w:tr>
    </w:tbl>
    <w:p>
      <w:pPr>
        <w:pStyle w:val="Heading2"/>
        <w:keepNext w:val="true"/>
        <w:keepLines/>
        <w:pBdr>
          <w:bottom w:val="single" w:sz="8" w:space="4" w:color="B58A95"/>
        </w:pBdr>
        <w:rPr/>
      </w:pPr>
      <w:r>
        <w:t>Chapter 2: Institutional Readiness and Digital Foundations</w:t>
      </w:r>
    </w:p>
    <w:p>
      <w:pPr>
        <w:pStyle w:val="Heading3"/>
        <w:keepNext w:val="true"/>
        <w:keepLines/>
        <w:rPr/>
      </w:pPr>
      <w:r>
        <w:t>Chapter Orientation</w:t>
      </w:r>
    </w:p>
    <w:p>
      <w:pPr>
        <w:pStyle w:val="FirstParagraph"/>
        <w:rPr/>
      </w:pPr>
      <w:r>
        <w:t>Chapter 2 addresses the foundations that determine whether an AI-enabled service can operate reliably: data quality, interoperability, infrastructure, resilience, stewardship, and institutional capability. The resources distinguish general digital maturity from readiness for a specific use case and make shared foundation investments visible as portfolio assets.</w:t>
      </w:r>
    </w:p>
    <w:p>
      <w:pPr>
        <w:pStyle w:val="BodyText"/>
        <w:rPr/>
      </w:pPr>
      <w:r>
        <w:t>Use this suite before local validation or procurement when source data, identity matching, terminology, interfaces, provenance, latency, security, or workflow ownership may constrain the proposed intervention. The output should show what is ready, what requires remediation, what can be tested safely, and which investments can be reused across future services.</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Readmission Analytics Readiness and Data-Foundation Investment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Use-Case Readiness Profile; Data and Interoperability Evidence Record; Foundation Investment and Portfolio Reuse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FHIR, OMOP, Digital maturity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core, 3 python analytics, 5 supplemental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50" w:name="resource-suite-at-a-glance-1"/>
            <w:bookmarkEnd w:id="50"/>
          </w:p>
        </w:tc>
      </w:tr>
    </w:tbl>
    <w:p>
      <w:pPr>
        <w:pStyle w:val="Heading3"/>
        <w:keepNext w:val="true"/>
        <w:keepLines/>
        <w:rPr/>
      </w:pPr>
      <w:r>
        <w:t>Worked Example: Readmission Analytics Readiness and Data-Foundation Investment</w:t>
      </w:r>
    </w:p>
    <w:p>
      <w:pPr>
        <w:pStyle w:val="Heading4"/>
        <w:keepNext w:val="true"/>
        <w:keepLines/>
        <w:rPr/>
      </w:pPr>
      <w:r>
        <w:t>Purpose and Status</w:t>
      </w:r>
    </w:p>
    <w:p>
      <w:pPr>
        <w:pStyle w:val="FirstParagraph"/>
        <w:rPr/>
      </w:pPr>
      <w:r>
        <w:t>A multi-site hospital group proposes a readmission-risk service, but discharge data, medication reconciliation, laboratory results, and prior admissions are distributed across several systems. The decision is whether to procure a model immediately or first strengthen reusable digital foundations.</w:t>
      </w:r>
    </w:p>
    <w:p>
      <w:pPr>
        <w:pStyle w:val="Heading4"/>
        <w:keepNext w:val="true"/>
        <w:keepLines/>
        <w:rPr/>
      </w:pPr>
      <w:r>
        <w:t>Decision Problem and Comparators</w:t>
      </w:r>
    </w:p>
    <w:p>
      <w:pPr>
        <w:pStyle w:val="FirstParagraph"/>
        <w:rPr/>
      </w:pPr>
      <w:r>
        <w:t>Decision problem. Which sequence of investment offers the greatest institutional value: immediate procurement, a foundation-first programme, or a limited proof of concept restricted to one service?</w:t>
      </w:r>
    </w:p>
    <w:p>
      <w:pPr>
        <w:pStyle w:val="BodyText"/>
        <w:rPr/>
      </w:pPr>
      <w:r>
        <w:t>Table: Comparators for the Chapter 2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Immediate vendor procurement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Foundation-first investment in identity, terminology, interfaces, provenance, and monitoring</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Single-site proof of concept with manual data preparation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Conventional discharge-risk checklist and additional care-coordination capacity</w:t>
            </w:r>
            <w:bookmarkStart w:id="53" w:name="decision-problem-and-comparators-1"/>
            <w:bookmarkEnd w:id="53"/>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2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Hospitals in scope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Portfolio plan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Interfaces requiring remediation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11</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Architecture inventory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Records with reliable medication reconciliation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68%</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Data-quality profile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Cross-site patient-identity match rate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96.1%</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Master-patient-index audit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Estimated foundation investment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740,000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Programme estimate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cases expected to reuse the foundations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Digital portfolio</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Estimated procurement delay from foundation programme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 months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plan</w:t>
            </w:r>
            <w:bookmarkStart w:id="54" w:name="X866d764d064f71c32cf3e49eb03220adbcd8483"/>
            <w:bookmarkEnd w:id="54"/>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Specify the data, timing, and workflow dependencies of the intended use.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readiness by use case rather than by one maturity score.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Identify which weaknesses affect several proposed services and estimate their portfolio-level reuse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immediate procurement with a foundation-first sequence and a restricted proof of concept.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acceptance criteria for identity, semantics, provenance, latency, resilience, and governance.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Record which standards are implementation tools and which local mappings and controls remain necessary.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Immediate procurement feasibility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Low</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Critical data and identity dependencies unresolved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Foundation reuse potential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Seven planned services share the same capabilities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Short-term delay cost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Moderate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Potential benefit deferred for nine months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Risk of isolated procurement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Repeated mapping, weak provenance, and technical debt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Foundation-first with restricted proof of concept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Allows learning without operational dependence</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Fund the shared digital-foundation programme and permit a restricted, non-clinically dependent proof of concept in one service. Procurement for routine use should wait until predefined data, interoperability, resilience, and governance thresholds are met.</w:t>
      </w:r>
    </w:p>
    <w:p>
      <w:pPr>
        <w:pStyle w:val="Compact"/>
        <w:numPr>
          <w:ilvl w:val="0"/>
          <w:numId w:val="34"/>
        </w:numPr>
        <w:rPr/>
      </w:pPr>
      <w:r>
        <w:t>identity and duplicate-record controls meet the agreed threshold.</w:t>
      </w:r>
    </w:p>
    <w:p>
      <w:pPr>
        <w:pStyle w:val="Compact"/>
        <w:numPr>
          <w:ilvl w:val="0"/>
          <w:numId w:val="35"/>
        </w:numPr>
        <w:rPr/>
      </w:pPr>
      <w:r>
        <w:t>medication and discharge data have documented provenance and completeness.</w:t>
      </w:r>
    </w:p>
    <w:p>
      <w:pPr>
        <w:pStyle w:val="Compact"/>
        <w:numPr>
          <w:ilvl w:val="0"/>
          <w:numId w:val="36"/>
        </w:numPr>
        <w:rPr/>
      </w:pPr>
      <w:r>
        <w:t>interfaces meet decision-latency and recovery requirements.</w:t>
      </w:r>
    </w:p>
    <w:p>
      <w:pPr>
        <w:pStyle w:val="Compact"/>
        <w:numPr>
          <w:ilvl w:val="0"/>
          <w:numId w:val="37"/>
        </w:numPr>
        <w:rPr/>
      </w:pPr>
      <w:r>
        <w:t>local FHIR profiles or equivalent exchange specifications and analytical transformations are version controlled.</w:t>
      </w:r>
    </w:p>
    <w:p>
      <w:pPr>
        <w:pStyle w:val="Compact"/>
        <w:numPr>
          <w:ilvl w:val="0"/>
          <w:numId w:val="38"/>
        </w:numPr>
        <w:rPr/>
      </w:pPr>
      <w:r>
        <w:t>the investment case identifies portfolio reuse and avoids assigning all shared cost to one application.</w:t>
      </w:r>
    </w:p>
    <w:p>
      <w:pPr>
        <w:pStyle w:val="Heading3"/>
        <w:keepNext w:val="true"/>
        <w:keepLines/>
        <w:rPr/>
      </w:pPr>
      <w:r>
        <w:t>Supplemental Resources</w:t>
      </w:r>
    </w:p>
    <w:p>
      <w:pPr>
        <w:pStyle w:val="FirstParagraph"/>
        <w:rPr/>
      </w:pPr>
      <w:r>
        <w:t>These supplemental resources translate the Chapter 2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2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Use-Case Readiness Profile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 and Interoperability Evidence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Foundation Investment and Portfolio Reuse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Use-Case Readiness Profile</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Data and Interoperability Evidence Record</w:t>
      </w:r>
    </w:p>
    <w:p>
      <w:pPr>
        <w:pStyle w:val="FirstParagraph"/>
        <w:rPr/>
      </w:pPr>
      <w:r>
        <w:t>The following sequence converts findings into accountable action. The local record should name the responsible person for each activity, the completion date, the evidence of completion, and any residual uncertainty. - Specify the data, timing, and workflow dependencies of the intended use. - Assess readiness by use case rather than by one maturity score. - Identify which weaknesses affect several proposed services and estimate their portfolio-level reuse value. - Compare immediate procurement with a foundation-first sequence and a restricted proof of concept. - Define acceptance criteria for identity, semantics, provenance, latency, resilience, and governance. - Record which standards are implementation tools and which local mappings and controls remain necessary.</w:t>
      </w:r>
    </w:p>
    <w:p>
      <w:pPr>
        <w:pStyle w:val="Heading4"/>
        <w:keepNext w:val="true"/>
        <w:keepLines/>
        <w:rPr/>
      </w:pPr>
      <w:r>
        <w:t>Foundation Investment and Portfolio Reuse</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2</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FHIR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standard for structured exchange of health information; it does not remove local profiling, mapping, or governance.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OMOP</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common data model for observational analysis; it is complementary to exchange standards.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Digital maturity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profile of capabilities tied to a use case, not a certificate of universal readiness.</w:t>
            </w:r>
            <w:bookmarkStart w:id="65" w:name="key-terms-1"/>
            <w:bookmarkEnd w:id="65"/>
          </w:p>
        </w:tc>
      </w:tr>
    </w:tbl>
    <w:p>
      <w:pPr>
        <w:pStyle w:val="Heading4"/>
        <w:keepNext w:val="true"/>
        <w:keepLines/>
        <w:rPr/>
      </w:pPr>
      <w:r>
        <w:t>Status and Appropriate Use of Selected Instruments</w:t>
      </w:r>
    </w:p>
    <w:p>
      <w:pPr>
        <w:pStyle w:val="FirstParagraph"/>
        <w:rPr/>
      </w:pPr>
      <w:r>
        <w:t>Table: Selected instruments relevant to Chapter 2</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HIMSS maturity models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Maturity models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Road maps for capability development; not proof of readiness for every use.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FHIR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Interoperability standard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exchange; requires local profiles and conformance.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OMOP CDM</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Analytical data model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observational analysis; does not replace source-system governance.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EHDS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Binding EU regulation with phased implementation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Shapes primary and secondary use, interoperability, access, and governance in scope.</w:t>
            </w:r>
          </w:p>
        </w:tc>
      </w:tr>
    </w:tbl>
    <w:p>
      <w:pPr>
        <w:pStyle w:val="Heading4"/>
        <w:keepNext w:val="true"/>
        <w:keepLines/>
        <w:rPr/>
      </w:pPr>
      <w:r>
        <w:t>Formula and Interpretation Note</w:t>
      </w:r>
    </w:p>
    <w:p>
      <w:pPr>
        <w:pStyle w:val="FirstParagraph"/>
        <w:rPr/>
      </w:pPr>
      <w:r>
        <w:t>The following relationship is used in Chapter 2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AIHE-CASE02 — Readmission-Model Readiness and Data-Fitness Assessment</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 the organization ready to validate and pilot a readmission-risk model, and which capability gaps must be remediated first?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AIHE-A03 — Institutional Readiness Assessment</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strategic, data, infrastructure, workflow, workforce, quality, economic, governance, procurement, and sustainability readiness.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AIHE-A04 — Data Source, Provenance, and Fitness Record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source and derived data assets, authority, definitions, transformations, quality, lineage, monitoring, and remediation.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AIHE-PY01 — Data quality, fitness-for-purpose, and mapping audit</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Profiles missingness, duplicates, implausible values, subgroup coverage, and terminology-mapping completeness before AI validation or economic analysis.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AIHE-PY03 — Missing-data sensitivity analysis</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Shows how complete-case analysis, simple imputation, and best/worst-case assumptions can change estimated outcomes and costs.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AIHE-PY33 — Patient or service segmentation using clustering</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Uses standardized features and k-means clustering to identify groups with different utilization, risk, cost, or workflow patterns.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 — AI Readiness Assessment for Health Systems</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strategic, data, infrastructure, workforce, governance, economic, ethical, security, and monitoring readiness at organizational and use-case levels.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AIHE-EX03 — Data Source Map and Access Record</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data sources, access authority, interoperability, quality, provenance, and reuse constraints.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AIHE-L — Health-System AI Readiness Maturity Assessment</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Rate health-system maturity by domain and identify the weakest critical capability and prerequisites before pilot or scale.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AIHE-U — SHARE-AI Secondary-Use Governance Worksheet</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Authorize secondary data use through purpose, harmonization, access, risk, public value, and audit controls.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AIHE-Y — Data Quality and Fitness-for-Purpose Assessment</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completeness, plausibility, consistency, timeliness, representativeness, lineage, and actionability.</w:t>
            </w:r>
          </w:p>
        </w:tc>
      </w:tr>
    </w:tbl>
    <w:p>
      <w:pPr>
        <w:pStyle w:val="Heading2"/>
        <w:keepNext w:val="true"/>
        <w:keepLines/>
        <w:pBdr>
          <w:bottom w:val="single" w:sz="8" w:space="4" w:color="B58A95"/>
        </w:pBdr>
        <w:rPr/>
      </w:pPr>
      <w:r>
        <w:t>Chapter 3: Human–AI Decision Support and Managerial Action</w:t>
      </w:r>
    </w:p>
    <w:p>
      <w:pPr>
        <w:pStyle w:val="Heading3"/>
        <w:keepNext w:val="true"/>
        <w:keepLines/>
        <w:rPr/>
      </w:pPr>
      <w:r>
        <w:t>Chapter Orientation</w:t>
      </w:r>
    </w:p>
    <w:p>
      <w:pPr>
        <w:pStyle w:val="FirstParagraph"/>
        <w:rPr/>
      </w:pPr>
      <w:r>
        <w:t>Chapter 3 focuses on the conversion of predictions, recommendations, alerts, and dashboard signals into accountable action. The resources specify decision windows, thresholds, users, human oversight, escalation, uncertainty, action latency, and the balancing measures required to detect overload or displaced burden.</w:t>
      </w:r>
    </w:p>
    <w:p>
      <w:pPr>
        <w:pStyle w:val="BodyText"/>
        <w:rPr/>
      </w:pPr>
      <w:r>
        <w:t>Use this suite when designing clinical decision support, operational dashboards, command centres, or partially automated workflows. It helps prevent technically accurate information from being mistaken for decision value when users lack time, authority, context, or downstream capacity to act.</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Hospital Command Dashboard and Patient Flow</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Human–AI Decision-Support Specification; Dashboard Signal-to-Action Record; Delegation, Oversight, and Action Latency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support, Delegation, Action latency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core, 4 python analytics, 1 supplemental specialist tool, 2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71" w:name="resource-suite-at-a-glance-2"/>
            <w:bookmarkEnd w:id="71"/>
          </w:p>
        </w:tc>
      </w:tr>
    </w:tbl>
    <w:p>
      <w:pPr>
        <w:pStyle w:val="Heading3"/>
        <w:keepNext w:val="true"/>
        <w:keepLines/>
        <w:rPr/>
      </w:pPr>
      <w:r>
        <w:t>Worked Example: Hospital Command Dashboard and Patient Flow</w:t>
      </w:r>
    </w:p>
    <w:p>
      <w:pPr>
        <w:pStyle w:val="Heading4"/>
        <w:keepNext w:val="true"/>
        <w:keepLines/>
        <w:rPr/>
      </w:pPr>
      <w:r>
        <w:t>Purpose and Status</w:t>
      </w:r>
    </w:p>
    <w:p>
      <w:pPr>
        <w:pStyle w:val="FirstParagraph"/>
        <w:rPr/>
      </w:pPr>
      <w:r>
        <w:t>A tertiary hospital plans a command dashboard combining admissions, discharges, bed status, staffing, diagnostics, transport, and forecast demand. Leaders expect faster decisions, but current indicators have inconsistent definitions and no explicit action owners.</w:t>
      </w:r>
    </w:p>
    <w:p>
      <w:pPr>
        <w:pStyle w:val="Heading4"/>
        <w:keepNext w:val="true"/>
        <w:keepLines/>
        <w:rPr/>
      </w:pPr>
      <w:r>
        <w:t>Decision Problem and Comparators</w:t>
      </w:r>
    </w:p>
    <w:p>
      <w:pPr>
        <w:pStyle w:val="FirstParagraph"/>
        <w:rPr/>
      </w:pPr>
      <w:r>
        <w:t>Decision problem. Should the hospital implement an AI-enhanced command dashboard, redesign the existing operational review process, or combine both through a staged signal-to-action intervention?</w:t>
      </w:r>
    </w:p>
    <w:p>
      <w:pPr>
        <w:pStyle w:val="BodyText"/>
        <w:rPr/>
      </w:pPr>
      <w:r>
        <w:t>Table: Comparators for the Chapter 3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morning operational meeting and static reports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Standardized dashboard without predictive functions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AI-enhanced dashboard with demand forecasts and anomaly detection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Targeted process redesign for discharge, imaging, and transport bottlenecks</w:t>
            </w:r>
            <w:bookmarkStart w:id="74" w:name="decision-problem-and-comparators-2"/>
            <w:bookmarkEnd w:id="74"/>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3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Average daily admissions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312</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Operations data</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bed occupancy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Capacity dashboard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Median data latency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95 minutes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Interface audit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Indicators without named action owner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Dashboard inventory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Forecast mean absolute percentage error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Retrospective validation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Estimated annual dashboard cost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265,000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Lifecycle-cost estimate</w:t>
            </w:r>
            <w:bookmarkStart w:id="75" w:name="X24c8c2cdc37edd77eb11563c98671e8a2f36ab8"/>
            <w:bookmarkEnd w:id="75"/>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operational decisions, decision windows, and accountable owners before selecting indicators.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Separate observed values, model estimates, forecasts, and recommendations.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an indicator dictionary with numerator, denominator, exclusions, latency, and limitations.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Map each signal to a feasible action and at least one balancing measure.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Test forecast value against a standardized non-predictive dashboard and targeted process redesign.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Measure action latency, downstream congestion, workload, and the consequences of recommendations that cannot be implemented.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Principal failure in current design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 action ownership</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Information does not reliably change decisions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Forecast technical performance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Potentially useful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local operational validation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 value constraint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 occupancy and limited downstream capacity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Forecasting cannot create beds or staff</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intervention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Signal-to-action redesign plus staged dashboard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Dashboard alone is insufficient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Primary monitoring outcome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and action latency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Views and logins are secondary</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Implement a standardized operational dashboard first, with explicit action ownership and decision thresholds. Add forecasting functions only after the data-latency and response-pathway requirements have been met and tested in simulation and a controlled pilot.</w:t>
      </w:r>
    </w:p>
    <w:p>
      <w:pPr>
        <w:pStyle w:val="Compact"/>
        <w:numPr>
          <w:ilvl w:val="0"/>
          <w:numId w:val="39"/>
        </w:numPr>
        <w:rPr/>
      </w:pPr>
      <w:r>
        <w:t>all priority indicators have definitions, owners, decision windows, and balancing measures.</w:t>
      </w:r>
    </w:p>
    <w:p>
      <w:pPr>
        <w:pStyle w:val="Compact"/>
        <w:numPr>
          <w:ilvl w:val="0"/>
          <w:numId w:val="40"/>
        </w:numPr>
        <w:rPr/>
      </w:pPr>
      <w:r>
        <w:t>data latency remains within the operational window.</w:t>
      </w:r>
    </w:p>
    <w:p>
      <w:pPr>
        <w:pStyle w:val="Compact"/>
        <w:numPr>
          <w:ilvl w:val="0"/>
          <w:numId w:val="41"/>
        </w:numPr>
        <w:rPr/>
      </w:pPr>
      <w:r>
        <w:t>forecast uncertainty is displayed and observed values are distinguishable from predictions.</w:t>
      </w:r>
    </w:p>
    <w:p>
      <w:pPr>
        <w:pStyle w:val="Compact"/>
        <w:numPr>
          <w:ilvl w:val="0"/>
          <w:numId w:val="42"/>
        </w:numPr>
        <w:rPr/>
      </w:pPr>
      <w:r>
        <w:t>the pilot measures action and outcome changes rather than views or user satisfaction alone.</w:t>
      </w:r>
    </w:p>
    <w:p>
      <w:pPr>
        <w:pStyle w:val="Compact"/>
        <w:numPr>
          <w:ilvl w:val="0"/>
          <w:numId w:val="43"/>
        </w:numPr>
        <w:rPr/>
      </w:pPr>
      <w:r>
        <w:t>a governance process reviews gaming, surveillance concerns, and unequal workload effects.</w:t>
      </w:r>
    </w:p>
    <w:p>
      <w:pPr>
        <w:pStyle w:val="Heading3"/>
        <w:keepNext w:val="true"/>
        <w:keepLines/>
        <w:rPr/>
      </w:pPr>
      <w:r>
        <w:t>Supplemental Resources</w:t>
      </w:r>
    </w:p>
    <w:p>
      <w:pPr>
        <w:pStyle w:val="FirstParagraph"/>
        <w:rPr/>
      </w:pPr>
      <w:r>
        <w:t>These supplemental resources translate the Chapter 3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3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Human–AI Decision-Support Specification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Dashboard Signal-to-Action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Delegation, Oversight, and Action Latency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Human–AI Decision-Support Specification</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Dashboard Signal-to-Action Record</w:t>
      </w:r>
    </w:p>
    <w:p>
      <w:pPr>
        <w:pStyle w:val="FirstParagraph"/>
        <w:rPr/>
      </w:pPr>
      <w:r>
        <w:t>The following sequence converts findings into accountable action. The local record should name the responsible person for each activity, the completion date, the evidence of completion, and any residual uncertainty. - Define the operational decisions, decision windows, and accountable owners before selecting indicators. - Separate observed values, model estimates, forecasts, and recommendations. - Create an indicator dictionary with numerator, denominator, exclusions, latency, and limitations. - Map each signal to a feasible action and at least one balancing measure. - Test forecast value against a standardized non-predictive dashboard and targeted process redesign. - Measure action latency, downstream congestion, workload, and the consequences of recommendations that cannot be implemented.</w:t>
      </w:r>
    </w:p>
    <w:p>
      <w:pPr>
        <w:pStyle w:val="Heading4"/>
        <w:keepNext w:val="true"/>
        <w:keepLines/>
        <w:rPr/>
      </w:pPr>
      <w:r>
        <w:t>Delegation, Oversight, and Action Latency</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3</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support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Information intended to influence a defined decision and action within a meaningful time window.</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Delegation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allocation of tasks and authority between people and technology.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Action latency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elapsed time from signal generation to feasible response.</w:t>
            </w:r>
            <w:bookmarkStart w:id="86" w:name="key-terms-2"/>
            <w:bookmarkEnd w:id="86"/>
          </w:p>
        </w:tc>
      </w:tr>
    </w:tbl>
    <w:p>
      <w:pPr>
        <w:pStyle w:val="Heading4"/>
        <w:keepNext w:val="true"/>
        <w:keepLines/>
        <w:rPr/>
      </w:pPr>
      <w:r>
        <w:t>Status and Appropriate Use of Selected Instruments</w:t>
      </w:r>
    </w:p>
    <w:p>
      <w:pPr>
        <w:pStyle w:val="FirstParagraph"/>
        <w:rPr/>
      </w:pPr>
      <w:r>
        <w:t>Table: Selected instruments relevant to Chapter 3</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DECIDE-AI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transparent reporting of early live clinical evaluation.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Decision-curve analysis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Analytical method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Examines threshold-specific net benefit.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Safety case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Assurance argument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Links hazards, controls, and evidence for a defined context.</w:t>
            </w:r>
          </w:p>
        </w:tc>
      </w:tr>
    </w:tbl>
    <w:p>
      <w:pPr>
        <w:pStyle w:val="Heading4"/>
        <w:keepNext w:val="true"/>
        <w:keepLines/>
        <w:rPr/>
      </w:pPr>
      <w:r>
        <w:t>Formula and Interpretation Note</w:t>
      </w:r>
    </w:p>
    <w:p>
      <w:pPr>
        <w:pStyle w:val="FirstParagraph"/>
        <w:rPr/>
      </w:pPr>
      <w:r>
        <w:t>The following relationship is used in Chapter 3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AIHE-CASE03 — Deterioration Alert Under Constrained Review Capacity</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Which alert threshold produces an operationally safe balance between missed deterioration and review burden?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AIHE-CASE03B — Hospital Command Dashboard and Patient Flow</w:t>
            </w:r>
            <w:r>
              <w:rPr>
                <w:rFonts w:cs=""/>
                <w:kern w:val="0"/>
                <w:sz w:val="16"/>
                <w:szCs w:val="24"/>
                <w:lang w:val="en-GB" w:eastAsia="en-US" w:bidi="ar-SA"/>
              </w:rPr>
              <w:t xml:space="preserve"> Worked case; md; csv; json; xlsx; ods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 whether and under what conditions a command dashboard should be scaled as a permanent patient-flow management intervention.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AIHE-C04 — Human Oversight and Accountability Matrix</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Assign accountability, responsibility, consultation, information, escalation, pause, update, restart, and retirement authority.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AIHE-PY06 — Decision-curve analysis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Compares prediction-model net benefit with treat-all and treat-none strategies across clinically relevant thresholds.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AIHE-PY21 — Discrete-event simulation of hospital flow</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Simulates arrivals, queues, service times, capacity, prioritization, and delays to assess how AI-enabled triage or scheduling affects operations.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AIHE-PY34 — Time-series forecasting for demand, capacity, and budget planning</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Fits simple trend and exponential-smoothing forecasts to operational or financial time series and compares forecast accuracy.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AIHE-PY35 — Constrained resource-allocation optimization</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Selects an allocation across candidate AI or service options to maximize expected value subject to budget, workforce, capacity, and minimum-service constraints.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AIHE-O — HOAM Accountability Workbook</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Assign accountable and responsible owners, consultation, information, escalation, pause, update, restart, and retirement authority.</w:t>
            </w:r>
          </w:p>
        </w:tc>
      </w:tr>
    </w:tbl>
    <w:p>
      <w:pPr>
        <w:pStyle w:val="Heading1"/>
        <w:keepNext w:val="true"/>
        <w:keepLines/>
        <w:pBdr>
          <w:bottom w:val="single" w:sz="8" w:space="4" w:color="B58A95"/>
        </w:pBdr>
        <w:rPr/>
      </w:pPr>
      <w:r>
        <w:t>Part II: Organizational Performance, Workforce, and Quality</w:t>
      </w:r>
    </w:p>
    <w:p>
      <w:pPr>
        <w:pStyle w:val="FirstParagraph"/>
        <w:rPr/>
      </w:pPr>
      <w:r>
        <w:t>This Part examines whether proposed capability can be converted into productive work, quality, accreditation evidence, patient safety, and organizational learning.</w:t>
      </w:r>
    </w:p>
    <w:p>
      <w:pPr>
        <w:pStyle w:val="Heading2"/>
        <w:keepNext w:val="true"/>
        <w:keepLines/>
        <w:pBdr>
          <w:bottom w:val="single" w:sz="8" w:space="4" w:color="B58A95"/>
        </w:pBdr>
        <w:rPr/>
      </w:pPr>
      <w:r>
        <w:t>Chapter 4: Productivity, Workforce Redesign, and Implementation</w:t>
      </w:r>
    </w:p>
    <w:p>
      <w:pPr>
        <w:pStyle w:val="Heading3"/>
        <w:keepNext w:val="true"/>
        <w:keepLines/>
        <w:rPr/>
      </w:pPr>
      <w:r>
        <w:t>Chapter Orientation</w:t>
      </w:r>
    </w:p>
    <w:p>
      <w:pPr>
        <w:pStyle w:val="FirstParagraph"/>
        <w:rPr/>
      </w:pPr>
      <w:r>
        <w:t>Chapter 4 connects productivity claims with workforce redesign and implementation. The resources separate gross time saved from review and correction, usable capacity, capacity actually redeployed, quality-adjusted outcomes, and the implementation work required to sustain benefit.</w:t>
      </w:r>
    </w:p>
    <w:p>
      <w:pPr>
        <w:pStyle w:val="BodyText"/>
        <w:rPr/>
      </w:pPr>
      <w:r>
        <w:t>Use this suite for documentation tools, scheduling systems, administrative automation, and other proposals built around efficiency. It supports task decomposition, workload-transfer analysis, implementation strategy selection, training, adaptation, sustainment, and a defensible benefit-realization plan.</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Ambient Documentation and Workforce Redesign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Productivity-Realization Chain; Determinant-to-Strategy Matrix; Implementation and Sustainment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Productivity, Implementation determinant, Sustainment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core, 3 python analytics, 1 reference guide, 2 supplemental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94" w:name="resource-suite-at-a-glance-3"/>
            <w:bookmarkEnd w:id="94"/>
          </w:p>
        </w:tc>
      </w:tr>
    </w:tbl>
    <w:p>
      <w:pPr>
        <w:pStyle w:val="Heading3"/>
        <w:keepNext w:val="true"/>
        <w:keepLines/>
        <w:rPr/>
      </w:pPr>
      <w:r>
        <w:t>Worked Example: Ambient Documentation and Workforce Redesign</w:t>
      </w:r>
    </w:p>
    <w:p>
      <w:pPr>
        <w:pStyle w:val="Heading4"/>
        <w:keepNext w:val="true"/>
        <w:keepLines/>
        <w:rPr/>
      </w:pPr>
      <w:r>
        <w:t>Purpose and Status</w:t>
      </w:r>
    </w:p>
    <w:p>
      <w:pPr>
        <w:pStyle w:val="FirstParagraph"/>
        <w:rPr/>
      </w:pPr>
      <w:r>
        <w:t>An ambulatory network is considering an ambient documentation system to reduce after-hours work. The vendor reports substantial drafting-time savings, while clinicians are concerned about correction burden, privacy, coding changes, and pressure to convert every saved minute into additional appointments.</w:t>
      </w:r>
    </w:p>
    <w:p>
      <w:pPr>
        <w:pStyle w:val="Heading4"/>
        <w:keepNext w:val="true"/>
        <w:keepLines/>
        <w:rPr/>
      </w:pPr>
      <w:r>
        <w:t>Decision Problem and Comparators</w:t>
      </w:r>
    </w:p>
    <w:p>
      <w:pPr>
        <w:pStyle w:val="FirstParagraph"/>
        <w:rPr/>
      </w:pPr>
      <w:r>
        <w:t>Decision problem. Does the intervention create net workforce and organizational value, and what workflow, governance, and implementation conditions are required before scale?</w:t>
      </w:r>
    </w:p>
    <w:p>
      <w:pPr>
        <w:pStyle w:val="BodyText"/>
        <w:rPr/>
      </w:pPr>
      <w:r>
        <w:t>Table: Comparators for the Chapter 4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documentation workflow</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Template and workflow redesign without generative technology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Additional transcription or administrative support</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Ambient documentation with opt-in human review</w:t>
            </w:r>
            <w:bookmarkStart w:id="97" w:name="decision-problem-and-comparators-3"/>
            <w:bookmarkEnd w:id="97"/>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4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Clinicians in pilot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Pilot plan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documentation time per visit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11.5 minutes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Time study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Vendor-reported gross saving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minutes/visit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evidence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Observed review and correction time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2.4 minutes/visit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usability test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Monthly subscription per clinician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420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Proposed contract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Average visits per clinician per month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310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Scheduling system</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Clinically consequential correction rate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Pilot quality audit</w:t>
            </w:r>
            <w:bookmarkStart w:id="98" w:name="Xb34267890d5582e4be482f8d9dec2f3a13b1644"/>
            <w:bookmarkEnd w:id="98"/>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Map the full documentation workflow and distinguish drafting assistance from coding or downstream recommendations.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Measure gross time, review, correction, escalation, and coordination by professional role.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whether net time can be pooled or scheduled as usable capacity.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 quality, privacy, consent, patient interaction, and after-hours work alongside throughput.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CFIR, NASSS-CAT, or another selected implementation resource for a defined purpose rather than as a generic checklist.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benefit owners, renewal thresholds, and controls for model, prompt, and template updates.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Gross time saved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minutes/visit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claim</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Net time saved after review</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2.6 minutes/visit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pilot estimate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Potential monthly net time per clinician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13.4 hours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Before accounting for downtime and meetings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Cash-releasing saving</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established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 payroll reduction demonstrated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 realized value candidate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Reduced after-hours work and improved patient interaction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longitudinal evidence</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Continue a limited opt-in pilot and do not treat gross time saving as a cash benefit. Scale only if net time benefit, documentation quality, patient acceptability, privacy, and workforce experience remain favourable and no adverse coding or downstream-utilization signal emerges.</w:t>
      </w:r>
    </w:p>
    <w:p>
      <w:pPr>
        <w:pStyle w:val="Compact"/>
        <w:numPr>
          <w:ilvl w:val="0"/>
          <w:numId w:val="44"/>
        </w:numPr>
        <w:rPr/>
      </w:pPr>
      <w:r>
        <w:t>documentation assistance remains separate from coding and order automation.</w:t>
      </w:r>
    </w:p>
    <w:p>
      <w:pPr>
        <w:pStyle w:val="Compact"/>
        <w:numPr>
          <w:ilvl w:val="0"/>
          <w:numId w:val="45"/>
        </w:numPr>
        <w:rPr/>
      </w:pPr>
      <w:r>
        <w:t>clinically consequential content requires meaningful professional confirmation.</w:t>
      </w:r>
    </w:p>
    <w:p>
      <w:pPr>
        <w:pStyle w:val="Compact"/>
        <w:numPr>
          <w:ilvl w:val="0"/>
          <w:numId w:val="46"/>
        </w:numPr>
        <w:rPr/>
      </w:pPr>
      <w:r>
        <w:t>specialty-specific correction patterns and subgroup effects are monitored.</w:t>
      </w:r>
    </w:p>
    <w:p>
      <w:pPr>
        <w:pStyle w:val="Compact"/>
        <w:numPr>
          <w:ilvl w:val="0"/>
          <w:numId w:val="47"/>
        </w:numPr>
        <w:rPr/>
      </w:pPr>
      <w:r>
        <w:t>released time has a documented and acceptable use.</w:t>
      </w:r>
    </w:p>
    <w:p>
      <w:pPr>
        <w:pStyle w:val="Compact"/>
        <w:numPr>
          <w:ilvl w:val="0"/>
          <w:numId w:val="48"/>
        </w:numPr>
        <w:rPr/>
      </w:pPr>
      <w:r>
        <w:t>renewal is linked to sustained net benefit after the novelty period.</w:t>
      </w:r>
    </w:p>
    <w:p>
      <w:pPr>
        <w:pStyle w:val="Heading3"/>
        <w:keepNext w:val="true"/>
        <w:keepLines/>
        <w:rPr/>
      </w:pPr>
      <w:r>
        <w:t>Supplemental Resources</w:t>
      </w:r>
    </w:p>
    <w:p>
      <w:pPr>
        <w:pStyle w:val="FirstParagraph"/>
        <w:rPr/>
      </w:pPr>
      <w:r>
        <w:t>These supplemental resources translate the Chapter 4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4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Productivity-Realization Chain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Determinant-to-Strategy Matrix</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and Sustainment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Productivity-Realization Chain</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Determinant-to-Strategy Matrix</w:t>
      </w:r>
    </w:p>
    <w:p>
      <w:pPr>
        <w:pStyle w:val="FirstParagraph"/>
        <w:rPr/>
      </w:pPr>
      <w:r>
        <w:t>The following sequence converts findings into accountable action. The local record should name the responsible person for each activity, the completion date, the evidence of completion, and any residual uncertainty. - Map the full documentation workflow and distinguish drafting assistance from coding or downstream recommendations. - Measure gross time, review, correction, escalation, and coordination by professional role. - Assess whether net time can be pooled or scheduled as usable capacity. - Evaluate quality, privacy, consent, patient interaction, and after-hours work alongside throughput. - Use CFIR, NASSS-CAT, or another selected implementation resource for a defined purpose rather than as a generic checklist. - Define benefit owners, renewal thresholds, and controls for model, prompt, and template updates.</w:t>
      </w:r>
    </w:p>
    <w:p>
      <w:pPr>
        <w:pStyle w:val="Heading4"/>
        <w:keepNext w:val="true"/>
        <w:keepLines/>
        <w:rPr/>
      </w:pPr>
      <w:r>
        <w:t>Implementation and Sustainment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4</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Productivity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Output or value generated relative to resources, adjusted for quality and transferred work.</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determinant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factor that impedes or enables implementation in a defined context.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Sustainment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Continued appropriate use and benefit after initial implementation support declines.</w:t>
            </w:r>
            <w:bookmarkStart w:id="109" w:name="key-terms-3"/>
            <w:bookmarkEnd w:id="109"/>
          </w:p>
        </w:tc>
      </w:tr>
    </w:tbl>
    <w:p>
      <w:pPr>
        <w:pStyle w:val="Heading4"/>
        <w:keepNext w:val="true"/>
        <w:keepLines/>
        <w:rPr/>
      </w:pPr>
      <w:r>
        <w:t>Status and Appropriate Use of Selected Instruments</w:t>
      </w:r>
    </w:p>
    <w:p>
      <w:pPr>
        <w:pStyle w:val="FirstParagraph"/>
        <w:rPr/>
      </w:pPr>
      <w:r>
        <w:t>Table: Selected instruments relevant to Chapter 4</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MRC guidance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Methodological guidance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development and evaluation of complex interventions.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CFIR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Determinant framework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Identifies barriers and facilitators.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NASSS-CAT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Complexity assessment tool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Examines nonadoption, abandonment, scale, spread, and sustainability.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RE-AIM/PRISM</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Implementation-outcome and context frameworks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real-world implementation and maintenance evaluation.</w:t>
            </w:r>
          </w:p>
        </w:tc>
      </w:tr>
    </w:tbl>
    <w:p>
      <w:pPr>
        <w:pStyle w:val="Heading4"/>
        <w:keepNext w:val="true"/>
        <w:keepLines/>
        <w:rPr/>
      </w:pPr>
      <w:r>
        <w:t>Formula and Interpretation Note</w:t>
      </w:r>
    </w:p>
    <w:p>
      <w:pPr>
        <w:pStyle w:val="FirstParagraph"/>
        <w:rPr/>
      </w:pPr>
      <w:r>
        <w:t>The following relationship is used in Chapter 4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AIHE-CASE04 — Ambient Documentation Assistant: Productivity and Workforce Redesign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How much of the claimed documentation time saving becomes usable capacity after review, correction, adoption, and implementation costs?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AIHE-B03 — Benefit Realization and Capacity Conversion</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Translate claimed benefits into measurable mechanisms, owners, baselines, conversion conditions, and realized results.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AIHE-RG03 — Implementation Framework Selection Guide</w:t>
            </w:r>
            <w:r>
              <w:rPr>
                <w:rFonts w:cs=""/>
                <w:kern w:val="0"/>
                <w:sz w:val="16"/>
                <w:szCs w:val="24"/>
                <w:lang w:val="en-GB" w:eastAsia="en-US" w:bidi="ar-SA"/>
              </w:rPr>
              <w:t xml:space="preserve"> Reference guide; docx; odt; xlsx; ods; csv; json;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 CFIR, NASSS-CAT, RE-AIM/PRISM, TAM/UTAUT, and mixed-method approaches according to the implementation question rather than name recognition.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AIHE-PY22 — System-dynamics model of adoption, capacity, and value</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Explores feedback among training, trust, adoption, workforce capacity, workload, benefit realization, and support burden over time.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AIHE-PY23 — Agent-based simulation of clinician adoption</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Models heterogeneous clinicians whose adoption changes through training, peer influence, perceived usefulness, workload, and adverse incidents.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AIHE-PY28 — Workflow time, capacity, productivity, and benefit realization</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Translates gross task-time savings into net time, usable capacity, realized output, quality-adjusted productivity, and economic value.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AIHE-EX07 — Benefit Realization and Capacity Conversion Log</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Assign each benefit to a mechanism, measure, owner, baseline, timing, accounting treatment, and verification source.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AIHE-Z — ROI and Workflow Value Worksheet</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Distinguish gross time saved, review burden, capacity released, capacity used, and realized value.</w:t>
            </w:r>
          </w:p>
        </w:tc>
      </w:tr>
    </w:tbl>
    <w:p>
      <w:pPr>
        <w:pStyle w:val="Heading2"/>
        <w:keepNext w:val="true"/>
        <w:keepLines/>
        <w:pBdr>
          <w:bottom w:val="single" w:sz="8" w:space="4" w:color="B58A95"/>
        </w:pBdr>
        <w:rPr/>
      </w:pPr>
      <w:r>
        <w:t>Chapter 5: Quality, Accreditation, and Organizational Learning</w:t>
      </w:r>
    </w:p>
    <w:p>
      <w:pPr>
        <w:pStyle w:val="Heading3"/>
        <w:keepNext w:val="true"/>
        <w:keepLines/>
        <w:rPr/>
      </w:pPr>
      <w:r>
        <w:t>Chapter Orientation</w:t>
      </w:r>
    </w:p>
    <w:p>
      <w:pPr>
        <w:pStyle w:val="FirstParagraph"/>
        <w:rPr/>
      </w:pPr>
      <w:r>
        <w:t>Chapter 5 places AI-enabled services within quality management, accreditation, patient safety, corrective action, audit, and organizational learning. The resources link technical and clinical indicators with workflow, equity, patient experience, economic value, incident investigation, and verified corrective action.</w:t>
      </w:r>
    </w:p>
    <w:p>
      <w:pPr>
        <w:pStyle w:val="BodyText"/>
        <w:rPr/>
      </w:pPr>
      <w:r>
        <w:t>Use this suite after a pilot or deployment, after a model or workflow update, or when monitoring identifies an unexpected signal. It helps distinguish statistical variation from unacceptable performance and connects investigation, containment, corrective action, revalidation, communication, and closure.</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Quality Signal After a Model and Workflow Update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Monitoring Plan; Incident and CAPA Record; Accreditation and Organizational-Learning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assurance, Quality control, Organizational learning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core, 1 python analytics, 1 supplemental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116" w:name="resource-suite-at-a-glance-4"/>
            <w:bookmarkEnd w:id="116"/>
          </w:p>
        </w:tc>
      </w:tr>
    </w:tbl>
    <w:p>
      <w:pPr>
        <w:pStyle w:val="Heading3"/>
        <w:keepNext w:val="true"/>
        <w:keepLines/>
        <w:rPr/>
      </w:pPr>
      <w:r>
        <w:t>Worked Example: Quality Signal After a Model and Workflow Update</w:t>
      </w:r>
    </w:p>
    <w:p>
      <w:pPr>
        <w:pStyle w:val="Heading4"/>
        <w:keepNext w:val="true"/>
        <w:keepLines/>
        <w:rPr/>
      </w:pPr>
      <w:r>
        <w:t>Purpose and Status</w:t>
      </w:r>
    </w:p>
    <w:p>
      <w:pPr>
        <w:pStyle w:val="FirstParagraph"/>
        <w:rPr/>
      </w:pPr>
      <w:r>
        <w:t>A deterioration-alert service has been used for eighteen months. Following an electronic health-record upgrade and a model update, the false-alert rate rises and nurses report more workarounds, while aggregate discrimination appears unchanged.</w:t>
      </w:r>
    </w:p>
    <w:p>
      <w:pPr>
        <w:pStyle w:val="Heading4"/>
        <w:keepNext w:val="true"/>
        <w:keepLines/>
        <w:rPr/>
      </w:pPr>
      <w:r>
        <w:t>Decision Problem and Comparators</w:t>
      </w:r>
    </w:p>
    <w:p>
      <w:pPr>
        <w:pStyle w:val="FirstParagraph"/>
        <w:rPr/>
      </w:pPr>
      <w:r>
        <w:t>Decision problem. Should the service continue unchanged, be restricted, undergo corrective action and revalidation, or be suspended pending investigation?</w:t>
      </w:r>
    </w:p>
    <w:p>
      <w:pPr>
        <w:pStyle w:val="BodyText"/>
        <w:rPr/>
      </w:pPr>
      <w:r>
        <w:t>Table: Comparators for the Chapter 5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Continue current operation</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Revert to the previous model and interface version</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Restrict use to selected units</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Suspend and return to the conventional escalation pathway</w:t>
            </w:r>
            <w:bookmarkStart w:id="119" w:name="decision-problem-and-comparators-4"/>
            <w:bookmarkEnd w:id="119"/>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5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640"/>
        <w:gridCol w:w="2640"/>
        <w:gridCol w:w="2640"/>
      </w:tblGrid>
      <w:tr>
        <w:trPr>
          <w:tblHeader w:val="true"/>
        </w:trPr>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false-alert rate</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14%</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dashboard</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Post-update false-alert rate</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23%</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Four-week monitoring window</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Aggregate AUROC before/after</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0.82 / 0.81</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Monitoring report</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Median response time before/after</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12 / 19 minutes</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Workflow log</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Units reporting workarounds</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 of 8</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Safety walk-rounds</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Serious incidents</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Incident register</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Near-miss reports</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Patient-safety system</w:t>
            </w:r>
            <w:bookmarkStart w:id="120" w:name="Xc6fb9a208ced864b469c4c16afa7eac772d97a0"/>
            <w:bookmarkEnd w:id="120"/>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Reconstruct the change timeline, data sources, model, software, interface, threshold, and workflow versions.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Distinguish statistical stability from clinical and managerial acceptability.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Investigate source-data, interface, threshold, user, staffing, and downstream-capacity explanations before selecting corrective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existing quality and patient-safety system to document containment, root causes, corrective and preventive action, and effectiveness checks.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whether the change is material and which validation evidence must be repeated.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Communicate the decision, residual uncertainty, and conditions for return to unrestricted use.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Technical discrimination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Broadly stable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Does not rule out workflow or calibration failure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performance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Deteriorated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Response delay and alert burden increased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Likely cause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Combined interface and threshold effects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confirmation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Immediate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Restrict and revert where feasible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Containment while investigation proceeds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CAPA and targeted revalidation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automatic retraining</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Restrict use, restore the previous validated configuration where safe, and complete a formal incident and corrective-action process. Unrestricted use should resume only after the source of the signal is understood and the effectiveness of corrective action is verified.</w:t>
      </w:r>
    </w:p>
    <w:p>
      <w:pPr>
        <w:pStyle w:val="Compact"/>
        <w:numPr>
          <w:ilvl w:val="0"/>
          <w:numId w:val="49"/>
        </w:numPr>
        <w:rPr/>
      </w:pPr>
      <w:r>
        <w:t>versioned reconstruction of data, software, model, interface, and workflow.</w:t>
      </w:r>
    </w:p>
    <w:p>
      <w:pPr>
        <w:pStyle w:val="Compact"/>
        <w:numPr>
          <w:ilvl w:val="0"/>
          <w:numId w:val="50"/>
        </w:numPr>
        <w:rPr/>
      </w:pPr>
      <w:r>
        <w:t>unit-level and subgroup analysis.</w:t>
      </w:r>
    </w:p>
    <w:p>
      <w:pPr>
        <w:pStyle w:val="Compact"/>
        <w:numPr>
          <w:ilvl w:val="0"/>
          <w:numId w:val="51"/>
        </w:numPr>
        <w:rPr/>
      </w:pPr>
      <w:r>
        <w:t>documented CAPA with named owners and completion dates.</w:t>
      </w:r>
    </w:p>
    <w:p>
      <w:pPr>
        <w:pStyle w:val="Compact"/>
        <w:numPr>
          <w:ilvl w:val="0"/>
          <w:numId w:val="52"/>
        </w:numPr>
        <w:rPr/>
      </w:pPr>
      <w:r>
        <w:t>verification that response time and alert burden return within acceptable limits.</w:t>
      </w:r>
    </w:p>
    <w:p>
      <w:pPr>
        <w:pStyle w:val="Compact"/>
        <w:numPr>
          <w:ilvl w:val="0"/>
          <w:numId w:val="53"/>
        </w:numPr>
        <w:rPr/>
      </w:pPr>
      <w:r>
        <w:t>executive authority to suspend or retire the intervention if performance remains unacceptable.</w:t>
      </w:r>
    </w:p>
    <w:p>
      <w:pPr>
        <w:pStyle w:val="Heading3"/>
        <w:keepNext w:val="true"/>
        <w:keepLines/>
        <w:rPr/>
      </w:pPr>
      <w:r>
        <w:t>Supplemental Resources</w:t>
      </w:r>
    </w:p>
    <w:p>
      <w:pPr>
        <w:pStyle w:val="FirstParagraph"/>
        <w:rPr/>
      </w:pPr>
      <w:r>
        <w:t>These supplemental resources translate the Chapter 5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5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Monitoring Plan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Incident and CAPA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Accreditation and Organizational-Learning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Quality Monitoring Plan</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Incident and CAPA Record</w:t>
      </w:r>
    </w:p>
    <w:p>
      <w:pPr>
        <w:pStyle w:val="FirstParagraph"/>
        <w:rPr/>
      </w:pPr>
      <w:r>
        <w:t>The following sequence converts findings into accountable action. The local record should name the responsible person for each activity, the completion date, the evidence of completion, and any residual uncertainty. - Reconstruct the change timeline, data sources, model, software, interface, threshold, and workflow versions. - Distinguish statistical stability from clinical and managerial acceptability. - Investigate source-data, interface, threshold, user, staffing, and downstream-capacity explanations before selecting corrective action. - Use the existing quality and patient-safety system to document containment, root causes, corrective and preventive action, and effectiveness checks. - Assess whether the change is material and which validation evidence must be repeated. - Communicate the decision, residual uncertainty, and conditions for return to unrestricted use.</w:t>
      </w:r>
    </w:p>
    <w:p>
      <w:pPr>
        <w:pStyle w:val="Heading4"/>
        <w:keepNext w:val="true"/>
        <w:keepLines/>
        <w:rPr/>
      </w:pPr>
      <w:r>
        <w:t>Accreditation and Organizational-Learning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5</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assurance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supporting confidence that requirements are being met.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control</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detection of variation or failure against statistical and acceptability limits.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Organizational learning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Conversion of monitoring and experience into revised knowledge, practice, and governance.</w:t>
            </w:r>
            <w:bookmarkStart w:id="131" w:name="key-terms-4"/>
            <w:bookmarkEnd w:id="131"/>
          </w:p>
        </w:tc>
      </w:tr>
    </w:tbl>
    <w:p>
      <w:pPr>
        <w:pStyle w:val="Heading4"/>
        <w:keepNext w:val="true"/>
        <w:keepLines/>
        <w:rPr/>
      </w:pPr>
      <w:r>
        <w:t>Status and Appropriate Use of Selected Instruments</w:t>
      </w:r>
    </w:p>
    <w:p>
      <w:pPr>
        <w:pStyle w:val="FirstParagraph"/>
        <w:rPr/>
      </w:pPr>
      <w:r>
        <w:t>Table: Selected instruments relevant to Chapter 5</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7101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healthcare management-system standard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quality-management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ISO/IEC 42001</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AI management-system standard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organization-wide AI management responsibilities.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SPC</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Statistical method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detection of process variation; not a clinical acceptability rule.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CAPA</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process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Links investigation to corrective and preventive action and verification.</w:t>
            </w:r>
          </w:p>
        </w:tc>
      </w:tr>
    </w:tbl>
    <w:p>
      <w:pPr>
        <w:pStyle w:val="Heading4"/>
        <w:keepNext w:val="true"/>
        <w:keepLines/>
        <w:rPr/>
      </w:pPr>
      <w:r>
        <w:t>Formula and Interpretation Note</w:t>
      </w:r>
    </w:p>
    <w:p>
      <w:pPr>
        <w:pStyle w:val="FirstParagraph"/>
        <w:rPr/>
      </w:pPr>
      <w:r>
        <w:t>The following relationship is used in Chapter 5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AIHE-CASE05 — AI Quality-Control, Accreditation, and Corrective Action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When should a change in performance trigger investigation, restriction, and corrective action within the quality-management system?</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AIHE-C01 — AI Quality-Control and Accreditation Evidence Plan</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Integrate AI-enabled services into quality control, accreditation evidence, monitoring, thresholds, action, and closure.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AIHE-C02 — Corrective and Preventive Action Record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nonconformity, containment, causal analysis, corrective and preventive action, effectiveness, residual risk, and closure.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AIHE-PY02 — Descriptive statistics and visual comparisons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Summarizes numerical and categorical variables, compares groups, and creates baseline visual diagnostics before modeling.</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AIHE-I — Health-System AI Indicator Library</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 outcome, process, balancing, equity, workforce, economic, governance, environmental, and lifecycle indicators with definitions, owners, sources, thresholds, and actions.</w:t>
            </w:r>
          </w:p>
        </w:tc>
      </w:tr>
    </w:tbl>
    <w:p>
      <w:pPr>
        <w:pStyle w:val="Heading1"/>
        <w:keepNext w:val="true"/>
        <w:keepLines/>
        <w:pBdr>
          <w:bottom w:val="single" w:sz="8" w:space="4" w:color="B58A95"/>
        </w:pBdr>
        <w:rPr/>
      </w:pPr>
      <w:r>
        <w:t>Part III: Economic Evaluation, Decision Modelling, and Procurement</w:t>
      </w:r>
    </w:p>
    <w:p>
      <w:pPr>
        <w:pStyle w:val="FirstParagraph"/>
        <w:rPr/>
      </w:pPr>
      <w:r>
        <w:t>This Part develops lifecycle costing, economic evaluation, modelling under uncertainty, procurement, contracting, and vendor governance.</w:t>
      </w:r>
    </w:p>
    <w:p>
      <w:pPr>
        <w:pStyle w:val="Heading2"/>
        <w:keepNext w:val="true"/>
        <w:keepLines/>
        <w:pBdr>
          <w:bottom w:val="single" w:sz="8" w:space="4" w:color="B58A95"/>
        </w:pBdr>
        <w:rPr/>
      </w:pPr>
      <w:r>
        <w:t>Chapter 6: Lifecycle Cost, Pricing, and Benefit Realization</w:t>
      </w:r>
    </w:p>
    <w:p>
      <w:pPr>
        <w:pStyle w:val="Heading3"/>
        <w:keepNext w:val="true"/>
        <w:keepLines/>
        <w:rPr/>
      </w:pPr>
      <w:r>
        <w:t>Chapter Orientation</w:t>
      </w:r>
    </w:p>
    <w:p>
      <w:pPr>
        <w:pStyle w:val="FirstParagraph"/>
        <w:rPr/>
      </w:pPr>
      <w:r>
        <w:t>Chapter 6 develops the full lifecycle cost and financial case. The resources identify costs that sit outside the licence price, model volume and pricing exposure, distinguish cash savings from avoided cost and released capacity, and assign responsibility for converting projected benefit into observed value.</w:t>
      </w:r>
    </w:p>
    <w:p>
      <w:pPr>
        <w:pStyle w:val="BodyText"/>
        <w:rPr/>
      </w:pPr>
      <w:r>
        <w:t>Use this suite during business-case development, pricing negotiation, pilot budgeting, renewal, or exit. The records should preserve the perspective, price year, time horizon, cost boundary, allocation rules, volume scenarios, benefit mechanism, budget owner, uncertainty, and residual value.</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Clinical Documentation Platform: Lifecycle Cost and Pricing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 Log; Pricing and Volume Scenarios; Benefit-Realization Register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 Pricing exposure, Benefit realization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core, 2 python analytics, 3 supplemental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138" w:name="resource-suite-at-a-glance-5"/>
            <w:bookmarkEnd w:id="138"/>
          </w:p>
        </w:tc>
      </w:tr>
    </w:tbl>
    <w:p>
      <w:pPr>
        <w:pStyle w:val="Heading3"/>
        <w:keepNext w:val="true"/>
        <w:keepLines/>
        <w:rPr/>
      </w:pPr>
      <w:r>
        <w:t>Worked Example: Clinical Documentation Platform: Lifecycle Cost and Pricing</w:t>
      </w:r>
    </w:p>
    <w:p>
      <w:pPr>
        <w:pStyle w:val="Heading4"/>
        <w:keepNext w:val="true"/>
        <w:keepLines/>
        <w:rPr/>
      </w:pPr>
      <w:r>
        <w:t>Purpose and Status</w:t>
      </w:r>
    </w:p>
    <w:p>
      <w:pPr>
        <w:pStyle w:val="FirstParagraph"/>
        <w:rPr/>
      </w:pPr>
      <w:r>
        <w:t>A hospital group is comparing three pricing proposals for a documentation platform: a fixed enterprise licence, a per-clinician subscription, and a hybrid base fee plus per-encounter charge. Each proposal excludes some implementation, monitoring, and exit activities.</w:t>
      </w:r>
    </w:p>
    <w:p>
      <w:pPr>
        <w:pStyle w:val="Heading4"/>
        <w:keepNext w:val="true"/>
        <w:keepLines/>
        <w:rPr/>
      </w:pPr>
      <w:r>
        <w:t>Decision Problem and Comparators</w:t>
      </w:r>
    </w:p>
    <w:p>
      <w:pPr>
        <w:pStyle w:val="FirstParagraph"/>
        <w:rPr/>
      </w:pPr>
      <w:r>
        <w:t>Decision problem. Which pricing and contracting structure produces the most predictable and defensible lifecycle cost, and under what conditions could projected benefits be realized?</w:t>
      </w:r>
    </w:p>
    <w:p>
      <w:pPr>
        <w:pStyle w:val="BodyText"/>
        <w:rPr/>
      </w:pPr>
      <w:r>
        <w:t>Table: Comparators for the Chapter 6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Fixed enterprise licence</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Per-clinician subscription</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Hybrid base plus encounter-based fee</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 not procure; invest in workflow and template redesign</w:t>
            </w:r>
            <w:bookmarkStart w:id="141" w:name="decision-problem-and-comparators-5"/>
            <w:bookmarkEnd w:id="141"/>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6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640"/>
        <w:gridCol w:w="2640"/>
        <w:gridCol w:w="2640"/>
      </w:tblGrid>
      <w:tr>
        <w:trPr>
          <w:tblHeader w:val="true"/>
        </w:trPr>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Clinicians</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420</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Workforce plan</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eligible encounters</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520,000</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Activity forecast</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Enterprise base fee</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1.15 million/year</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A</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Per-clinician fee</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390/month</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B</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Hybrid base fee</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540,000/year</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C</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Hybrid variable fee</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1.15/encounter</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C</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Initial integration and governance</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760,000</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estimate</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monitoring and support</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310,000</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estimate</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useful decision horizon</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 years</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Business case</w:t>
            </w:r>
            <w:bookmarkStart w:id="142" w:name="X1e3e0e93db79c6efbed16cbce7af6c61f69edff"/>
            <w:bookmarkEnd w:id="142"/>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perspective, price year, time horizon, comparator, and full cost boundary.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Classify costs as fixed, step-fixed, variable, contingent, shared, or exit related.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low, expected, and high activity for each pricing structure.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Discount costs and credible monetised benefits; preserve non-monetised value separately.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a benefit-realization register that distinguishes cash savings, avoided costs, usable capacity, quality, workforce, and public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Test price, uptake, review burden, implementation delay, support, and exit thresholds.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Most predictable annual spend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Enterprise licence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May overpay at low uptake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Lowest expected five-year PV cost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Hybrid proposal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Dependent on activity cap and included support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Dominant uncertainty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Net usable capacity per encounter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vendor price alone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Cash-releasing saving</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established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Released time is not yet linked to budget reduction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Negotiate hybrid with cap and conditional renewal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Preserves predictability and proportionality</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Negotiate a capped hybrid structure with explicit integration, monitoring, updates, data access, and exit support. Treat productivity benefit as conditional until local evidence shows how net time is converted into usable capacity or another measurable outcome.</w:t>
      </w:r>
    </w:p>
    <w:p>
      <w:pPr>
        <w:pStyle w:val="Compact"/>
        <w:numPr>
          <w:ilvl w:val="0"/>
          <w:numId w:val="54"/>
        </w:numPr>
        <w:rPr/>
      </w:pPr>
      <w:r>
        <w:t>all pricing units are clinically and financially understandable.</w:t>
      </w:r>
    </w:p>
    <w:p>
      <w:pPr>
        <w:pStyle w:val="Compact"/>
        <w:numPr>
          <w:ilvl w:val="0"/>
          <w:numId w:val="55"/>
        </w:numPr>
        <w:rPr/>
      </w:pPr>
      <w:r>
        <w:t>base and variable components do not double charge essential services.</w:t>
      </w:r>
    </w:p>
    <w:p>
      <w:pPr>
        <w:pStyle w:val="Compact"/>
        <w:numPr>
          <w:ilvl w:val="0"/>
          <w:numId w:val="56"/>
        </w:numPr>
        <w:rPr/>
      </w:pPr>
      <w:r>
        <w:t>low, expected, and high activity scenarios remain affordable.</w:t>
      </w:r>
    </w:p>
    <w:p>
      <w:pPr>
        <w:pStyle w:val="Compact"/>
        <w:numPr>
          <w:ilvl w:val="0"/>
          <w:numId w:val="57"/>
        </w:numPr>
        <w:rPr/>
      </w:pPr>
      <w:r>
        <w:t>benefit owners and verification sources are named.</w:t>
      </w:r>
    </w:p>
    <w:p>
      <w:pPr>
        <w:pStyle w:val="Compact"/>
        <w:numPr>
          <w:ilvl w:val="0"/>
          <w:numId w:val="58"/>
        </w:numPr>
        <w:rPr/>
      </w:pPr>
      <w:r>
        <w:t>renewal depends on observed value, current evidence, and acceptable exit options.</w:t>
      </w:r>
    </w:p>
    <w:p>
      <w:pPr>
        <w:pStyle w:val="Heading3"/>
        <w:keepNext w:val="true"/>
        <w:keepLines/>
        <w:rPr/>
      </w:pPr>
      <w:r>
        <w:t>Supplemental Resources</w:t>
      </w:r>
    </w:p>
    <w:p>
      <w:pPr>
        <w:pStyle w:val="FirstParagraph"/>
        <w:rPr/>
      </w:pPr>
      <w:r>
        <w:t>These supplemental resources translate the Chapter 6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6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 Log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Pricing and Volume Scenarios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Benefit-Realization Register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Lifecycle Cost Log</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Pricing and Volume Scenarios</w:t>
      </w:r>
    </w:p>
    <w:p>
      <w:pPr>
        <w:pStyle w:val="FirstParagraph"/>
        <w:rPr/>
      </w:pPr>
      <w:r>
        <w:t>The following sequence converts findings into accountable action. The local record should name the responsible person for each activity, the completion date, the evidence of completion, and any residual uncertainty. - Define perspective, price year, time horizon, comparator, and full cost boundary. - Classify costs as fixed, step-fixed, variable, contingent, shared, or exit related. - Model low, expected, and high activity for each pricing structure. - Discount costs and credible monetised benefits; preserve non-monetised value separately. - Create a benefit-realization register that distinguishes cash savings, avoided costs, usable capacity, quality, workforce, and public value. - Test price, uptake, review burden, implementation delay, support, and exit thresholds.</w:t>
      </w:r>
    </w:p>
    <w:p>
      <w:pPr>
        <w:pStyle w:val="Heading4"/>
        <w:keepNext w:val="true"/>
        <w:keepLines/>
        <w:rPr/>
      </w:pPr>
      <w:r>
        <w:t>Benefit-Realization Register</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6</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resources from preparation through operation, change, transition, and exit.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Pricing exposure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How contractual units and activity translate into financial risk.</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Benefit realization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that a projected mechanism produced an observable and usable result.</w:t>
            </w:r>
            <w:bookmarkStart w:id="153" w:name="key-terms-5"/>
            <w:bookmarkEnd w:id="153"/>
          </w:p>
        </w:tc>
      </w:tr>
    </w:tbl>
    <w:p>
      <w:pPr>
        <w:pStyle w:val="Heading4"/>
        <w:keepNext w:val="true"/>
        <w:keepLines/>
        <w:rPr/>
      </w:pPr>
      <w:r>
        <w:t>Status and Appropriate Use of Selected Instruments</w:t>
      </w:r>
    </w:p>
    <w:p>
      <w:pPr>
        <w:pStyle w:val="FirstParagraph"/>
        <w:rPr/>
      </w:pPr>
      <w:r>
        <w:t>Table: Selected instruments relevant to Chapter 6</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TCAIO</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Author-developed costing framework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Organizes full lifecycle cost from acquisition through exit.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CHEERS-AI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transparent reporting of AI economic evaluations.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TDABC</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Costing method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Estimates personnel and activity costs from time and capacity cost rates.</w:t>
            </w:r>
          </w:p>
        </w:tc>
      </w:tr>
    </w:tbl>
    <w:p>
      <w:pPr>
        <w:pStyle w:val="Heading4"/>
        <w:keepNext w:val="true"/>
        <w:keepLines/>
        <w:rPr/>
      </w:pPr>
      <w:r>
        <w:t>Formula and Interpretation Note</w:t>
      </w:r>
    </w:p>
    <w:p>
      <w:pPr>
        <w:pStyle w:val="FirstParagraph"/>
        <w:rPr/>
      </w:pPr>
      <w:r>
        <w:t>The following relationship is used in Chapter 6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AIHE-CASE06 — Five-Year Lifecycle Cost, Pricing, ROI, and Benefit Realization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Does the proposed AI service create value after all lifecycle costs, pricing exposure, and benefit-conversion conditions are included?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AIHE-B01 — Economic Evaluation Specification</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economic decision, perspective, comparator, horizon, outcomes, costs, methods, uncertainty, safeguards, and validation.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AIHE-B02 — Lifecycle Cost and Pricing Record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Record acquisition through exit costs, resource use, pricing exposure, opportunity cost, residual value, and evidence.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AIHE-PY10 — Total Cost of AI Ownership (TCAIO) lifecycle costing</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Calculates one-time and recurring AI costs, discounted present value, cost per use, and optimistic/base/conservative scenarios across the full lifecycle.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AIHE-PY11 — ROI, net benefit, and benefit-realization analysis</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Calculates gross and risk-adjusted benefits, total cost, net benefit, ROI, payback period, and the effect of realization probability and attribution assumptions.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AIHE-B — Economic Evaluation Specification</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Specify the decision, perspective, comparator, costs, outcomes, horizon, uncertainty, distribution, and reporting plan.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AIHE-EX17 — AI Pricing and Contract Scenario Record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base and variable fees in clinically legible units, cap exposure, price support explicitly, and link renewal to realized value.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AIHE-M — TCAIO Costing Workbook</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 incremental lifecycle costs from acquisition through operation, monitoring, material change, and exit.</w:t>
            </w:r>
          </w:p>
        </w:tc>
      </w:tr>
    </w:tbl>
    <w:p>
      <w:pPr>
        <w:pStyle w:val="Heading2"/>
        <w:keepNext w:val="true"/>
        <w:keepLines/>
        <w:pBdr>
          <w:bottom w:val="single" w:sz="8" w:space="4" w:color="B58A95"/>
        </w:pBdr>
        <w:rPr/>
      </w:pPr>
      <w:r>
        <w:t>Chapter 7: Economic Evaluation, Affordability, and HTA</w:t>
      </w:r>
    </w:p>
    <w:p>
      <w:pPr>
        <w:pStyle w:val="Heading3"/>
        <w:keepNext w:val="true"/>
        <w:keepLines/>
        <w:rPr/>
      </w:pPr>
      <w:r>
        <w:t>Chapter Orientation</w:t>
      </w:r>
    </w:p>
    <w:p>
      <w:pPr>
        <w:pStyle w:val="FirstParagraph"/>
        <w:rPr/>
      </w:pPr>
      <w:r>
        <w:t>Chapter 7 separates value for money, budget impact, affordability, health technology assessment, reimbursement, and local adoption. The resources support a transparent economic-evaluation protocol and ensure that cost-effectiveness does not obscure cash-flow constraints, implementation capacity, distributional effects, or unresolved safeguards.</w:t>
      </w:r>
    </w:p>
    <w:p>
      <w:pPr>
        <w:pStyle w:val="BodyText"/>
        <w:rPr/>
      </w:pPr>
      <w:r>
        <w:t>Use this suite when an institution must decide whether to adopt, pilot, defer, redesign, restrict, or reject an intervention. The outputs should show incremental costs and outcomes, annual budget consequences, evidence maturity, uncertainty, subgroup effects, payment context, and local prerequisites.</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Remote Monitoring: Economic Evaluation, Affordability, and HTA</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Evaluation Protocol; Budget-Impact Record; HTA and Local-Adoption Decision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Cost-effectiveness, Affordability, HTA</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core, 3 python analytics, 2 supplemental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160" w:name="resource-suite-at-a-glance-6"/>
            <w:bookmarkEnd w:id="160"/>
          </w:p>
        </w:tc>
      </w:tr>
    </w:tbl>
    <w:p>
      <w:pPr>
        <w:pStyle w:val="Heading3"/>
        <w:keepNext w:val="true"/>
        <w:keepLines/>
        <w:rPr/>
      </w:pPr>
      <w:r>
        <w:t>Worked Example: Remote Monitoring: Economic Evaluation, Affordability, and HTA</w:t>
      </w:r>
    </w:p>
    <w:p>
      <w:pPr>
        <w:pStyle w:val="Heading4"/>
        <w:keepNext w:val="true"/>
        <w:keepLines/>
        <w:rPr/>
      </w:pPr>
      <w:r>
        <w:t>Purpose and Status</w:t>
      </w:r>
    </w:p>
    <w:p>
      <w:pPr>
        <w:pStyle w:val="FirstParagraph"/>
        <w:rPr/>
      </w:pPr>
      <w:r>
        <w:t>A public payer and hospital network are assessing an AI-supported remote-monitoring programme for people with heart failure. The programme may reduce emergency visits and admissions, but it requires devices, connectivity, monitoring staff, escalation capacity, and recurring platform fees.</w:t>
      </w:r>
    </w:p>
    <w:p>
      <w:pPr>
        <w:pStyle w:val="Heading4"/>
        <w:keepNext w:val="true"/>
        <w:keepLines/>
        <w:rPr/>
      </w:pPr>
      <w:r>
        <w:t>Decision Problem and Comparators</w:t>
      </w:r>
    </w:p>
    <w:p>
      <w:pPr>
        <w:pStyle w:val="FirstParagraph"/>
        <w:rPr/>
      </w:pPr>
      <w:r>
        <w:t>Decision problem. Is the programme cost-effective, affordable, and suitable for local adoption, and which evidence gaps justify a staged decision?</w:t>
      </w:r>
    </w:p>
    <w:p>
      <w:pPr>
        <w:pStyle w:val="BodyText"/>
        <w:rPr/>
      </w:pPr>
      <w:r>
        <w:t>Table: Comparators for the Chapter 7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Usual scheduled follow-up</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Non-AI remote monitoring with threshold rules</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AI-supported remote monitoring with nurse review</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Enhanced community nursing without remote monitoring</w:t>
            </w:r>
            <w:bookmarkStart w:id="163" w:name="decision-problem-and-comparators-6"/>
            <w:bookmarkEnd w:id="163"/>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7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Eligible population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8,000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Commissioning estimate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Year-1 uptake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35%</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scenario</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cost per participant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1,180/year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Programme costing</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admissions avoided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0.10/person-year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synthesis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QALY gain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0.028/person-year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model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 per admission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5,600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Payer data</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cost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1.4 million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Network estimate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threshold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35,000/QALY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Illustrative local threshold</w:t>
            </w:r>
            <w:bookmarkStart w:id="164" w:name="Xb6cf313c841c40e444fc2f6292158f909b297d9"/>
            <w:bookmarkEnd w:id="164"/>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Specify decision-maker, perspective, comparator, population, horizon, and intended scale.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 incremental costs, effects, QALYs, and net benefit.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Present annual and cumulative budget impact under uptake scenarios.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Separate economic cost from cash flow and productive capacity from cash-releasing savings.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subgroup access, connectivity, digital support, and distribution of opportunity cost.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Identify whether remaining uncertainty should lead to adoption, a restricted pilot, price negotiation, or further research.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programme cost before offsets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9.44 million/year at full scale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Excludes initial implementation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admission offset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4.48 million/year at full scale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Dependent on causal effectiveness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Illustrative ICER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Approximately EUR 22,900/QALY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Favourable at stated threshold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Year-1 budget impact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Positive and substantial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May remain unaffordable despite cost-effectiveness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Phased adoption with negotiated price and access support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HTA and affordability separated</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Support phased adoption where the comparative clinical evidence is credible, but link scale to annual affordability, observed service capacity, subgroup access, and updated budget impact. The payer and provider should align payment and implementation responsibilities.</w:t>
      </w:r>
    </w:p>
    <w:p>
      <w:pPr>
        <w:pStyle w:val="Compact"/>
        <w:numPr>
          <w:ilvl w:val="0"/>
          <w:numId w:val="59"/>
        </w:numPr>
        <w:rPr/>
      </w:pPr>
      <w:r>
        <w:t>the exact intervention bundle and comparator are defined.</w:t>
      </w:r>
    </w:p>
    <w:p>
      <w:pPr>
        <w:pStyle w:val="Compact"/>
        <w:numPr>
          <w:ilvl w:val="0"/>
          <w:numId w:val="60"/>
        </w:numPr>
        <w:rPr/>
      </w:pPr>
      <w:r>
        <w:t>annual and cumulative budget impact remain within an agreed envelope.</w:t>
      </w:r>
    </w:p>
    <w:p>
      <w:pPr>
        <w:pStyle w:val="Compact"/>
        <w:numPr>
          <w:ilvl w:val="0"/>
          <w:numId w:val="61"/>
        </w:numPr>
        <w:rPr/>
      </w:pPr>
      <w:r>
        <w:t>non-digital access and connectivity support are funded.</w:t>
      </w:r>
    </w:p>
    <w:p>
      <w:pPr>
        <w:pStyle w:val="Compact"/>
        <w:numPr>
          <w:ilvl w:val="0"/>
          <w:numId w:val="62"/>
        </w:numPr>
        <w:rPr/>
      </w:pPr>
      <w:r>
        <w:t>local causal and implementation evidence is collected.</w:t>
      </w:r>
    </w:p>
    <w:p>
      <w:pPr>
        <w:pStyle w:val="Compact"/>
        <w:numPr>
          <w:ilvl w:val="0"/>
          <w:numId w:val="63"/>
        </w:numPr>
        <w:rPr/>
      </w:pPr>
      <w:r>
        <w:t>price, uptake, and service-capacity thresholds are included in the decision record.</w:t>
      </w:r>
    </w:p>
    <w:p>
      <w:pPr>
        <w:pStyle w:val="Heading3"/>
        <w:keepNext w:val="true"/>
        <w:keepLines/>
        <w:rPr/>
      </w:pPr>
      <w:r>
        <w:t>Supplemental Resources</w:t>
      </w:r>
    </w:p>
    <w:p>
      <w:pPr>
        <w:pStyle w:val="FirstParagraph"/>
        <w:rPr/>
      </w:pPr>
      <w:r>
        <w:t>These supplemental resources translate the Chapter 7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7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Evaluation Protocol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Budget-Impact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HTA and Local-Adoption Decision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Economic Evaluation Protocol</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Budget-Impact Record</w:t>
      </w:r>
    </w:p>
    <w:p>
      <w:pPr>
        <w:pStyle w:val="FirstParagraph"/>
        <w:rPr/>
      </w:pPr>
      <w:r>
        <w:t>The following sequence converts findings into accountable action. The local record should name the responsible person for each activity, the completion date, the evidence of completion, and any residual uncertainty. - Specify decision-maker, perspective, comparator, population, horizon, and intended scale. - Estimate incremental costs, effects, QALYs, and net benefit. - Present annual and cumulative budget impact under uptake scenarios. - Separate economic cost from cash flow and productive capacity from cash-releasing savings. - Assess subgroup access, connectivity, digital support, and distribution of opportunity cost. - Identify whether remaining uncertainty should lead to adoption, a restricted pilot, price negotiation, or further research.</w:t>
      </w:r>
    </w:p>
    <w:p>
      <w:pPr>
        <w:pStyle w:val="Heading4"/>
        <w:keepNext w:val="true"/>
        <w:keepLines/>
        <w:rPr/>
      </w:pPr>
      <w:r>
        <w:t>HTA and Local-Adoption Decision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7</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Cost-effectiveness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Comparison of incremental outcomes and costs relative to an alternative.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Affordability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Whether the responsible budget and implementation capacity can support the intervention.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HTA</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Multidisciplinary appraisal supporting policy, reimbursement, and adoption decisions.</w:t>
            </w:r>
            <w:bookmarkStart w:id="175" w:name="key-terms-6"/>
            <w:bookmarkEnd w:id="175"/>
          </w:p>
        </w:tc>
      </w:tr>
    </w:tbl>
    <w:p>
      <w:pPr>
        <w:pStyle w:val="Heading4"/>
        <w:keepNext w:val="true"/>
        <w:keepLines/>
        <w:rPr/>
      </w:pPr>
      <w:r>
        <w:t>Status and Appropriate Use of Selected Instruments</w:t>
      </w:r>
    </w:p>
    <w:p>
      <w:pPr>
        <w:pStyle w:val="FirstParagraph"/>
        <w:rPr/>
      </w:pPr>
      <w:r>
        <w:t>Table: Selected instruments relevant to Chapter 7</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CHEERS 2022</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transparent reporting of health-economic evaluations.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CHEERS-AI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AI-specific reporting extension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Adds AI intervention, implementation, updating, and uncertainty considerations.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NICE reference case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Jurisdiction-specific methods guidance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consistent appraisal in England; not universal.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 HTA Regulation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Binding EU regulation in scope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joint clinical assessment while national decisions remain.</w:t>
            </w:r>
          </w:p>
        </w:tc>
      </w:tr>
    </w:tbl>
    <w:p>
      <w:pPr>
        <w:pStyle w:val="Heading4"/>
        <w:keepNext w:val="true"/>
        <w:keepLines/>
        <w:rPr/>
      </w:pPr>
      <w:r>
        <w:t>Formula and Interpretation Note</w:t>
      </w:r>
    </w:p>
    <w:p>
      <w:pPr>
        <w:pStyle w:val="FirstParagraph"/>
        <w:rPr/>
      </w:pPr>
      <w:r>
        <w:t>The following relationship is used in Chapter 7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AIHE-CASE07 — Remote Monitoring: Cost-Effectiveness, Budget Impact, and HTA</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Can an intervention be cost-effective yet remain unaffordable or unsuitable for local adoption?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AIHE-B04 — Cost-Effectiveness, Budget Impact, and HTA Record</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Summarize cost-effectiveness, affordability, distribution, HTA, reimbursement, adoption conditions, uncertainty, and recommendation.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AIHE-PY12 — Cost-effectiveness, ICER, and net monetary benefit</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Compares an AI-enabled pathway with a comparator using incremental cost, incremental effect, ICER, net monetary benefit, and dominance rules.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AIHE-PY13 — Multiyear budget-impact analysis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Estimates annual and cumulative financial consequences for a specific budget holder under low, base, and high adoption or effectiveness scenarios.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AIHE-PY16 — Distributional cost-effectiveness and equity-weighted analysis</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Compares costs, effects, net monetary benefit, access, and equity-weighted value across population groups.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AIHE-AA — Cost-Effectiveness and Budget-Impact Tool</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incremental costs and outcomes, net benefit, affordability, uptake, cash flow, and sensitivity scenarios.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AIHE-EX18 — HTA, Reimbursement, and Adoption Record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Distinguish regulatory authorization, HTA, reimbursement or payment, procurement, and local adoption; record the authority, perspective, evidence, gaps, and continuing evidence conditions for each layer.</w:t>
            </w:r>
          </w:p>
        </w:tc>
      </w:tr>
    </w:tbl>
    <w:p>
      <w:pPr>
        <w:pStyle w:val="Heading2"/>
        <w:keepNext w:val="true"/>
        <w:keepLines/>
        <w:pBdr>
          <w:bottom w:val="single" w:sz="8" w:space="4" w:color="B58A95"/>
        </w:pBdr>
        <w:rPr/>
      </w:pPr>
      <w:r>
        <w:t>Chapter 8: Decision Modelling and Simulation Under Uncertainty</w:t>
      </w:r>
    </w:p>
    <w:p>
      <w:pPr>
        <w:pStyle w:val="Heading3"/>
        <w:keepNext w:val="true"/>
        <w:keepLines/>
        <w:rPr/>
      </w:pPr>
      <w:r>
        <w:t>Chapter Orientation</w:t>
      </w:r>
    </w:p>
    <w:p>
      <w:pPr>
        <w:pStyle w:val="FirstParagraph"/>
        <w:rPr/>
      </w:pPr>
      <w:r>
        <w:t>Chapter 8 explains how the structure of the decision determines the modelling method. The resources cover decision trees, state-transition models, microsimulation, discrete-event simulation, queueing, hybrid models, scenario analysis, probabilistic sensitivity analysis, and value of information.</w:t>
      </w:r>
    </w:p>
    <w:p>
      <w:pPr>
        <w:pStyle w:val="BodyText"/>
        <w:rPr/>
      </w:pPr>
      <w:r>
        <w:t>The detailed imaging-prioritization case is retained as the principal worked example because it shows how queue effects, classification errors, time to diagnosis, capacity, lifetime outcomes, subgroup consequences, and research priorities can be linked without treating image-level performance as the whole decision.</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Imaging Prioritization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Specification; Verification, Validation, and Reproducibility; Uncertainty and Value-of-Information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model, Simulation, Value of information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core, 5 python analytics, 1 reference guide, 5 supplemental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181" w:name="resource-suite-at-a-glance-7"/>
            <w:bookmarkEnd w:id="181"/>
          </w:p>
        </w:tc>
      </w:tr>
    </w:tbl>
    <w:p>
      <w:pPr>
        <w:pStyle w:val="Heading3"/>
        <w:keepNext w:val="true"/>
        <w:keepLines/>
        <w:rPr/>
      </w:pPr>
      <w:r>
        <w:t>Worked Example: Imaging Prioritization</w:t>
      </w:r>
    </w:p>
    <w:p>
      <w:pPr>
        <w:pStyle w:val="Heading3"/>
        <w:keepNext w:val="true"/>
        <w:keepLines/>
        <w:rPr/>
      </w:pPr>
      <w:r>
        <w:t>Purpose and Status</w:t>
      </w:r>
    </w:p>
    <w:p>
      <w:pPr>
        <w:pStyle w:val="FirstParagraph"/>
        <w:rPr/>
      </w:pPr>
      <w:r>
        <w:t>This worked example shows how a health system can combine queue modelling, diagnostic consequences, economic evaluation, subgroup analysis, and decision uncertainty when considering an artificial intelligence (AI) system that prioritises imaging studies for human interpretation. The intervention changes the order in which studies are read; it does not replace professional review or issue a final diagnosis.</w:t>
      </w:r>
    </w:p>
    <w:p>
      <w:pPr>
        <w:pStyle w:val="BodyText"/>
        <w:rPr/>
      </w:pPr>
      <w:r>
        <w:t>All values are synthetic and are included solely to demonstrate the analytical sequence. They are not clinical estimates, price benchmarks, or recommendations for a particular imaging service. Local use would require current clinical evidence, local workflow and capacity data, subgroup validation, approved cost sources, and governance review. The recent United Kingdom breast-screening evaluation cited in Chapter 8 illustrates the value of connecting operational workflow with longer-term health and economic consequences, but the numerical values below are not taken from that study (1).</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Field</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Specification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Resource identifier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AIHE-CASE08</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Aligned chapter</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8: Decision Modelling and Simulation Under Uncertainty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setting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cohort of screening-imaging examinations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Perspective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Hospital and publicly funded health-system perspective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Price year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2026 pounds sterling (GBP)</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Analytical horizon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One year of service operation, with lifetime consequences assigned to materially delayed cancer diagnoses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Comparator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first-in, first-out worklist with manual escalation when staff identify urgency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AI-supported prioritization followed by unchanged human interpretation and diagnostic responsibility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Status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Synthetic worked example; not a validated institutional model</w:t>
            </w:r>
            <w:bookmarkStart w:id="183" w:name="purpose-and-status-7"/>
            <w:bookmarkEnd w:id="183"/>
          </w:p>
        </w:tc>
      </w:tr>
    </w:tbl>
    <w:p>
      <w:pPr>
        <w:pStyle w:val="Heading3"/>
        <w:keepNext w:val="true"/>
        <w:keepLines/>
        <w:rPr/>
      </w:pPr>
      <w:r>
        <w:t>Decision Problem and Comparator</w:t>
      </w:r>
    </w:p>
    <w:p>
      <w:pPr>
        <w:pStyle w:val="FirstParagraph"/>
        <w:rPr/>
      </w:pPr>
      <w:r>
        <w:t>A regional imaging service processes approximately 25,000 screening studies each year. The organization is considering an AI prioritization system that assigns a priority flag when an examination appears more likely to require rapid review. Flagged studies move to the front of the human-reading worklist. All studies are still interpreted by qualified readers, and the intervention does not alter the number of readers, scanners, diagnostic appointments, or treatment slots.</w:t>
      </w:r>
    </w:p>
    <w:p>
      <w:pPr>
        <w:pStyle w:val="BodyText"/>
        <w:rPr/>
      </w:pPr>
      <w:r>
        <w:t>The decision is whether to retain the current worklist, conduct a controlled pilot, or adopt the prioritization system at scale. The analysis must determine whether earlier review of time-sensitive cases produces sufficient health and resource value to justify licensing, integration, monitoring, training, and the opportunity cost imposed on non-prioritised studies.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element</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Worked specification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Population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Adults receiving screening imaging during one service year</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Service problem</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Clinically important studies may remain in the routine queue long enough to reduce the benefit of early diagnosis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Comparator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First-in, first-out worklist with existing manual escalation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priority flag, priority queue, human interpretation, audit, monitoring, and rollback capability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Excluded uses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Autonomous diagnosis, removal of human review, automated treatment decisions, or use outside the validated imaging pathway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Primary outcome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Quality-adjusted life years (QALYs) gained by reducing materially delayed diagnoses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outcomes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Time to report, priority volume, routine-worklist delay, capacity use, and review burden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outcomes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cost, incremental QALYs, incremental cost-effectiveness ratio, net monetary benefit, and budget exposure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Equity question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Whether performance and reporting time differ for groups with more complex studies or poorer access to specialist services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options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 not adopt; redesign; conduct a controlled pilot; adopt with conditions; scale; restrict; or discontinue</w:t>
            </w:r>
          </w:p>
        </w:tc>
      </w:tr>
    </w:tbl>
    <w:p>
      <w:pPr>
        <w:pStyle w:val="Heading3"/>
        <w:keepNext w:val="true"/>
        <w:keepLines/>
        <w:rPr/>
      </w:pPr>
      <w:r>
        <w:t>Model Structure</w:t>
      </w:r>
    </w:p>
    <w:p>
      <w:pPr>
        <w:pStyle w:val="FirstParagraph"/>
        <w:rPr/>
      </w:pPr>
      <w:r>
        <w:t>The worked example uses a simplified hybrid structure. Each component answers a different part of the decision problem: - A discrete-event simulation (DES) represents arrivals, daily reading capacity, temporary capacity loss, queue order, and time to report. DES is appropriate because prioritization changes the ordering of events and the use of constrained resources (2). - A short decision tree classifies examinations as true positive, false negative, false positive, or true negative relative to the priority flag. These categories determine which studies receive earlier review and which studies consume priority capacity without being time-sensitive. - A simplified long-term consequence module links reporting delay to the probability of a materially delayed diagnosis. Each material delay is assigned an expected QALY loss and downstream treatment cost. In a full evaluation, this scalar consequence would normally be replaced by a disease-specific state-transition or patient-level model. - Deterministic sensitivity analysis, probabilistic sensitivity analysis (PSA), subgroup analysis, threshold analysis, and expected value of perfect information (EVPI) examine whether uncertainty could change the decision.</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Component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What it represents</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Principal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Queue simulation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Arrival variability, reading capacity, downtime, and priority ordering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Time-to-report distributions for all studies and for priority, routine, cancer, and non-cancer groups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tree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Priority-flag performance and immediate consequences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true-positive, false-negative, false-positive, and true-negative counts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Consequence module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Relationship between delay and lifetime consequences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 delays, QALY loss avoided, and downstream costs avoided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module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Programme costs, offsets, and health outcomes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cost, ICER, and net monetary benefit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Uncertainty module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Parameter and structural uncertainty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Sensitivity results, probability of cost-effectiveness, EVPI, and research priorities</w:t>
            </w:r>
          </w:p>
        </w:tc>
      </w:tr>
    </w:tbl>
    <w:p>
      <w:pPr>
        <w:pStyle w:val="Heading3"/>
        <w:keepNext w:val="true"/>
        <w:keepLines/>
        <w:rPr/>
      </w:pPr>
      <w:r>
        <w:t>Parameters and Assumptions</w:t>
      </w:r>
    </w:p>
    <w:p>
      <w:pPr>
        <w:pStyle w:val="FirstParagraph"/>
        <w:rPr/>
      </w:pPr>
      <w:r>
        <w:t>The following table records the base-case values and the ranges used in deterministic or probabilistic analysis. The values are deliberately transparent so that readers can reproduce the calculations and identify which assumptions should be replaced by local evidence.</w:t>
      </w:r>
    </w:p>
    <w:p>
      <w:pPr>
        <w:pStyle w:val="BodyText"/>
        <w:rPr/>
      </w:pPr>
      <w:r>
        <w:t>Table: Synthetic parameter table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436"/>
        <w:gridCol w:w="2436"/>
        <w:gridCol w:w="2437"/>
        <w:gridCol w:w="2436"/>
      </w:tblGrid>
      <w:tr>
        <w:trPr>
          <w:tblHeader w:val="true"/>
        </w:trPr>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2437"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Sensitivity or PSA specification</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Role in the model</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examinations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25,000</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Fixed in base PSA</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Service volume</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Working days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250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Fixed</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Converts annual volume to daily arrivals</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Cancer prevalence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0.008</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Beta(80, 9920)</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Number of time-sensitive cases</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sensitivity</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0.90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Beta(180, 20); DSA 0.80–0.95</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Probability that a cancer case receives priority</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specificity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0.92</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Beta(920, 80); DSA 0.88–0.96</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Controls false-priority volume</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daily arrivals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100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Poisson arrivals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Queue demand</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daily reading capacity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101.4</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101.4, SD 7, truncated at zero</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Queue service capacity</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Capacity-loss days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25% capacity reduction on affected days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disruption</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mean cancer report time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5.0, SD 1.0, minimum 0.5</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Delay under the comparator</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True-positive report time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0.5 day</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0.5, SD 0.15, minimum 0.2</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Delay for correctly prioritised cancer cases</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False-negative report time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5.44 days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5.44, SD 1.0, minimum 0.5</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Delay for missed priority cases</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QALY loss per material delay</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0.10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0.10, SD 0.03, minimum 0.01; DSA 0.05–0.15</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Lifetime health consequence</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 per material delay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2,500</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2,500, SD 750, minimum 250; DSA 1,000–5,000</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Downstream treatment consequence</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licence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65,000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Triangular(40,000; 65,000; 90,000)</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Recurring programme cost</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Annualised integration</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20,000</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20,000, SD 4,000, minimum 5,000</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Interface and technical support</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Monitoring and assurance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18,000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18,000, SD 3,600, minimum 5,000</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Performance, equity, safety, and incident review</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Training and service support</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8,000</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8,000, SD 2,000, minimum 1,000</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Workforce implementation cost</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Manual triage cost avoided</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20,000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Triangular(0; 20,000; 40,000)</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cost offset</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Extra review per false-priority study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1.5 minutes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1.5, SD 0.5, minimum 0.1</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Priority-review burden</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Review cost per minute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1.20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Fixed</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Converts review burden to cost</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 willingness-to-pay threshold</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30,000 per QALY</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Scenario at GBP 50,000</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Converts health effects to net monetary benefit</w:t>
            </w:r>
          </w:p>
        </w:tc>
      </w:tr>
    </w:tbl>
    <w:p>
      <w:pPr>
        <w:pStyle w:val="Heading3"/>
        <w:keepNext w:val="true"/>
        <w:keepLines/>
        <w:rPr/>
      </w:pPr>
      <w:r>
        <w:t>Queue and Capacity Model</w:t>
      </w:r>
    </w:p>
    <w:p>
      <w:pPr>
        <w:pStyle w:val="FirstParagraph"/>
        <w:rPr/>
      </w:pPr>
      <w:r>
        <w:t>The queue model assumes that studies arrive throughout each working day and are read from a pooled worklist. The comparator uses first-in, first-out ordering. The intervention places flagged studies ahead of routine studies while preserving first-in, first-out ordering within each class. Service is non-pre-emptive: a study already being interpreted is not interrupted when a new priority study arrives.</w:t>
      </w:r>
    </w:p>
    <w:p>
      <w:pPr>
        <w:pStyle w:val="BodyText"/>
        <w:rPr/>
      </w:pPr>
      <w:r>
        <w:t>The expected priority proportion is</w:t>
      </w:r>
    </w:p>
    <w:p>
      <w:pPr>
        <w:pStyle w:val="BodyText"/>
        <w:jc w:val="centre"/>
        <w:rPr/>
      </w:pPr>
      <w:r/>
    </w:p>
    <w:p>
      <w:pPr>
        <w:pStyle w:val="FirstParagraph"/>
        <w:rPr/>
      </w:pPr>
      <w:r>
        <w:t>where () is prevalence, (Se) is sensitivity, and (Sp) is specificity. In the base case,</w:t>
      </w:r>
    </w:p>
    <w:p>
      <w:pPr>
        <w:pStyle w:val="BodyText"/>
        <w:rPr/>
      </w:pPr>
      <w:r>
        <w:t>[ P() = (0.008)(0.90)+(0.992)(0.08) = 0.0866, ]</w:t>
      </w:r>
    </w:p>
    <w:p>
      <w:pPr>
        <w:pStyle w:val="BodyText"/>
        <w:rPr/>
      </w:pPr>
      <w:r>
        <w:t>so approximately 8.7% of examinations enter the priority queue.</w:t>
      </w:r>
    </w:p>
    <w:p>
      <w:pPr>
        <w:pStyle w:val="BodyText"/>
        <w:rPr/>
      </w:pPr>
      <w:r>
        <w:t>The synthetic DES used 200 replications of 1,000 working days. The first 500 days of each replication were discarded as warm-up. Random arrivals, variable daily capacity, and temporary capacity loss were represented explicitly. These settings are intended to demonstrate good simulation practice rather than reproduce a particular service.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Assumption</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Worked specification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Arrival process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Poisson arrivals with a mean of 100 examinations per working day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Reading capacity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Normally distributed daily capacity with mean 101.4 and standard deviation 7 examinations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Capacity disruption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5% daily probability of a 25% reduction in reading capacity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Comparator discipline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First-in, first-out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 discipline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studies first; first-in, first-out within priority and routine classes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Pre-emption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None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Additional capacity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None; the intervention changes ordering rather than staffing or equipment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Warm-up</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First 500 days discarded</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Replications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200 independent replications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Primary queue outcomes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and 90th-percentile time to report by cancer status and priority class</w:t>
            </w:r>
          </w:p>
        </w:tc>
      </w:tr>
    </w:tbl>
    <w:p>
      <w:pPr>
        <w:pStyle w:val="BodyText"/>
        <w:rPr/>
      </w:pPr>
      <w:r>
        <w:t>The queue results in the following table show the central trade-off. Prioritization substantially reduces reporting time for cancer cases but slightly increases waiting among routine studies. The overall mean changes little because the intervention redistributes capacity rather than adding capacity.</w:t>
      </w:r>
    </w:p>
    <w:p>
      <w:pPr>
        <w:pStyle w:val="BodyText"/>
        <w:rPr/>
      </w:pPr>
      <w:r>
        <w:t>Table: Illustrative queue-model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436"/>
        <w:gridCol w:w="2436"/>
        <w:gridCol w:w="2437"/>
        <w:gridCol w:w="2436"/>
      </w:tblGrid>
      <w:tr>
        <w:trPr>
          <w:tblHeader w:val="true"/>
        </w:trPr>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w:t>
            </w:r>
          </w:p>
        </w:tc>
        <w:tc>
          <w:tcPr>
            <w:tcW w:w="2437"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AI priority</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time to report, all studies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Reordering does not create additional capacity</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90th percentile, all studies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6.7 days</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7.2 days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upper tail for routine studies becomes slightly longer</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time to report, cancer cases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1.0 day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Correct prioritization produces the main potential benefit</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time, true-positive cancer cases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0.5 day</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Correctly flagged cases are read first</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time, false-negative cancer cases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5.44 days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Missed cases remain in the routine queue and may wait longer</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time, routine studies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5.44 days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cases impose an opportunity cost on routine work</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share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applicable</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8.7%</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Includes true positives and false positives</w:t>
            </w:r>
          </w:p>
        </w:tc>
      </w:tr>
    </w:tbl>
    <w:p>
      <w:pPr>
        <w:pStyle w:val="Heading3"/>
        <w:keepNext w:val="true"/>
        <w:keepLines/>
        <w:rPr/>
      </w:pPr>
      <w:r>
        <w:t>Priority Classification and Consequences</w:t>
      </w:r>
    </w:p>
    <w:p>
      <w:pPr>
        <w:pStyle w:val="FirstParagraph"/>
        <w:rPr/>
      </w:pPr>
      <w:r>
        <w:t>For an annual cohort of size (N), the expected classification counts are</w:t>
      </w:r>
    </w:p>
    <w:p>
      <w:pPr>
        <w:pStyle w:val="BodyText"/>
        <w:jc w:val="centre"/>
        <w:rPr/>
      </w:pPr>
      <w:r/>
    </w:p>
    <w:p>
      <w:pPr>
        <w:pStyle w:val="FirstParagraph"/>
        <w:rPr/>
      </w:pPr>
      <w:r>
        <w:t>The base-case values produce 180 true positives, 20 false negatives, 1,984 false positives, and 22,816 true negatives. These categories matter because a priority system can create both benefit and opportunity cost even when it does not change the final diagnostic interpretation.</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436"/>
        <w:gridCol w:w="2436"/>
        <w:gridCol w:w="2437"/>
        <w:gridCol w:w="2436"/>
      </w:tblGrid>
      <w:tr>
        <w:trPr>
          <w:tblHeader w:val="true"/>
        </w:trPr>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Category</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count</w:t>
            </w:r>
          </w:p>
        </w:tc>
        <w:tc>
          <w:tcPr>
            <w:tcW w:w="2437"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Queue consequence</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Clinical and economic consequence</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True positive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180</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Read rapidly in the priority queue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Potential reduction in materially delayed diagnosis and downstream treatment cost</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False negative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Remains in the routine queue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Principal safety concern; delayed interpretation may reduce health benefit</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False positive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1,984</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Uses priority-reading capacity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Additional review burden and longer routine waiting, without direct diagnostic benefit</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True negative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22,816</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Remains in the routine queue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Small opportunity cost from reordering; no direct diagnostic benefit</w:t>
            </w:r>
          </w:p>
        </w:tc>
      </w:tr>
    </w:tbl>
    <w:p>
      <w:pPr>
        <w:pStyle w:val="Heading3"/>
        <w:keepNext w:val="true"/>
        <w:keepLines/>
        <w:rPr/>
      </w:pPr>
      <w:r>
        <w:t>Time to Diagnosis and Long-Term Consequences</w:t>
      </w:r>
    </w:p>
    <w:p>
      <w:pPr>
        <w:pStyle w:val="FirstParagraph"/>
        <w:rPr/>
      </w:pPr>
      <w:r>
        <w:t>A fully developed evaluation would estimate disease-specific relationships among reporting time, diagnostic confirmation, treatment initiation, stage, survival, quality of life, and cost. To keep the worked example transparent, a synthetic relationship is used instead. The probability that a cancer case experiences a materially consequential delay is</w:t>
      </w:r>
    </w:p>
    <w:p>
      <w:pPr>
        <w:pStyle w:val="BodyText"/>
        <w:jc w:val="centre"/>
        <w:rPr/>
      </w:pPr>
      <w:r/>
    </w:p>
    <w:p>
      <w:pPr>
        <w:pStyle w:val="FirstParagraph"/>
        <w:rPr/>
      </w:pPr>
      <w:r>
        <w:t>where (d) is mean time to report in working days. The function is pedagogical; it is not a clinically validated delay model.</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Time to report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Material-delay probability</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day or less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0.04</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Residual delay remains possible after rapid reporting</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 days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0.08</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Moderate increase in expected delay consequence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 days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0.12</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Base-case comparator region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 days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0.16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Greater likelihood of lost clinical benefit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 days or more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0.20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Probability capped in the illustrative function</w:t>
            </w:r>
          </w:p>
        </w:tc>
      </w:tr>
    </w:tbl>
    <w:p>
      <w:pPr>
        <w:pStyle w:val="BodyText"/>
        <w:rPr/>
      </w:pPr>
      <w:r>
        <w:t>Expected materially delayed cancer cases are</w:t>
      </w:r>
    </w:p>
    <w:p>
      <w:pPr>
        <w:pStyle w:val="BodyText"/>
        <w:jc w:val="centre"/>
        <w:rPr/>
      </w:pPr>
      <w:r/>
    </w:p>
    <w:p>
      <w:pPr>
        <w:pStyle w:val="FirstParagraph"/>
        <w:rPr/>
      </w:pPr>
      <w:r>
        <w:t>for the comparator and</w:t>
      </w:r>
    </w:p>
    <w:p>
      <w:pPr>
        <w:pStyle w:val="BodyText"/>
        <w:jc w:val="centre"/>
        <w:rPr/>
      </w:pPr>
      <w:r/>
    </w:p>
    <w:p>
      <w:pPr>
        <w:pStyle w:val="FirstParagraph"/>
        <w:rPr/>
      </w:pPr>
      <w:r>
        <w:t>for the intervention. Substitution of the base-case values gives</w:t>
      </w:r>
    </w:p>
    <w:p>
      <w:pPr>
        <w:pStyle w:val="BodyText"/>
        <w:rPr/>
      </w:pPr>
      <w:r>
        <w:t>[ D_0 = (25,000)(0.008)(0.1202) = 24.04, ]</w:t>
      </w:r>
    </w:p>
    <w:p>
      <w:pPr>
        <w:pStyle w:val="BodyText"/>
        <w:rPr/>
      </w:pPr>
      <w:r>
        <w:t>and</w:t>
      </w:r>
    </w:p>
    <w:p>
      <w:pPr>
        <w:pStyle w:val="BodyText"/>
        <w:rPr/>
      </w:pPr>
      <w:r>
        <w:t>[ D_1 = (25,000)(0.008) = 9.78. ]</w:t>
      </w:r>
    </w:p>
    <w:p>
      <w:pPr>
        <w:pStyle w:val="BodyText"/>
        <w:rPr/>
      </w:pPr>
      <w:r>
        <w:t>The model therefore estimates 14.26 materially delayed diagnoses avoided in one annual cohort.</w:t>
      </w:r>
    </w:p>
    <w:p>
      <w:pPr>
        <w:pStyle w:val="Heading3"/>
        <w:keepNext w:val="true"/>
        <w:keepLines/>
        <w:rPr/>
      </w:pPr>
      <w:r>
        <w:t>Costs and Outcomes</w:t>
      </w:r>
    </w:p>
    <w:p>
      <w:pPr>
        <w:pStyle w:val="FirstParagraph"/>
        <w:rPr/>
      </w:pPr>
      <w:r>
        <w:t>If (q) is the QALY loss per material delay and (c_d) is the associated downstream cost, the incremental health effect is</w:t>
      </w:r>
    </w:p>
    <w:p>
      <w:pPr>
        <w:pStyle w:val="BodyText"/>
        <w:jc w:val="centre"/>
        <w:rPr/>
      </w:pPr>
      <w:r/>
    </w:p>
    <w:p>
      <w:pPr>
        <w:pStyle w:val="FirstParagraph"/>
        <w:rPr/>
      </w:pPr>
      <w:r>
        <w:t>With (q=0.10), the base-case gain is</w:t>
      </w:r>
    </w:p>
    <w:p>
      <w:pPr>
        <w:pStyle w:val="BodyText"/>
        <w:rPr/>
      </w:pPr>
      <w:r>
        <w:t>[ E = (24.04-9.78)(0.10) = 1.43 . ]</w:t>
      </w:r>
    </w:p>
    <w:p>
      <w:pPr>
        <w:pStyle w:val="BodyText"/>
        <w:rPr/>
      </w:pPr>
      <w:r>
        <w:t>False-priority review costs are calculated as</w:t>
      </w:r>
    </w:p>
    <w:p>
      <w:pPr>
        <w:pStyle w:val="BodyText"/>
        <w:rPr/>
      </w:pPr>
      <w:r>
        <w:t>[ C_{FP} = (1,984)(1.5 )( 1.20) =  3,571. ]</w:t>
      </w:r>
    </w:p>
    <w:p>
      <w:pPr>
        <w:pStyle w:val="BodyText"/>
        <w:rPr/>
      </w:pPr>
      <w:r>
        <w:t>The incremental cost is</w:t>
      </w:r>
    </w:p>
    <w:p>
      <w:pPr>
        <w:pStyle w:val="BodyText"/>
        <w:jc w:val="centre"/>
        <w:rPr/>
      </w:pPr>
      <w:r/>
    </w:p>
    <w:p>
      <w:pPr>
        <w:pStyle w:val="FirstParagraph"/>
        <w:rPr/>
      </w:pPr>
      <w:r>
        <w:t>The base-case calculation is</w:t>
      </w:r>
    </w:p>
    <w:p>
      <w:pPr>
        <w:pStyle w:val="BodyText"/>
        <w:rPr/>
      </w:pPr>
      <w:r>
        <w:t>[ C = 65,000+20,000+18,000+8,000+3,571 -20,000-35,657 =  58,914. ]</w:t>
      </w:r>
    </w:p>
    <w:p>
      <w:pPr>
        <w:pStyle w:val="BodyText"/>
        <w:rPr/>
      </w:pPr>
      <w:r>
        <w:t>The incremental cost-effectiveness ratio is</w:t>
      </w:r>
    </w:p>
    <w:p>
      <w:pPr>
        <w:pStyle w:val="BodyText"/>
        <w:jc w:val="centre"/>
        <w:rPr/>
      </w:pPr>
      <w:r/>
    </w:p>
    <w:p>
      <w:pPr>
        <w:pStyle w:val="FirstParagraph"/>
        <w:rPr/>
      </w:pPr>
      <w:r>
        <w:t>Net monetary benefit at threshold (_{}) is</w:t>
      </w:r>
    </w:p>
    <w:p>
      <w:pPr>
        <w:pStyle w:val="BodyText"/>
        <w:jc w:val="centre"/>
        <w:rPr/>
      </w:pPr>
      <w:r/>
    </w:p>
    <w:p>
      <w:pPr>
        <w:pStyle w:val="FirstParagraph"/>
        <w:rPr/>
      </w:pPr>
      <w:r>
        <w:t>At GBP 30,000 per QALY, NMB is approximately GBP -16,125; at GBP 50,000 per QALY, it is approximately GBP 12,401. The base case is therefore not attractive at the lower threshold but becomes favourable at the higher threshold.</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Materially delayed diagnoses, comparator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24.04</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count in one annual cohort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Materially delayed diagnoses, intervention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9.78</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Weighted across true-positive and false-negative pathways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 delays avoided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14.26</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Principal clinical benefit mechanism</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QALYs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1.43</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Lifetime consequence assigned to the annual cohort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Gross programme cost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114,571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Licence, integration, monitoring, training, and false-priority review</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Manual triage cost avoided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20,000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offset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Downstream cost avoided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35,657</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Consequence of fewer material delays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Net incremental cost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58,914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Gross cost less offsets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ICER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41,305 per QALY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Above a GBP 30,000 threshold; below a GBP 50,000 threshold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NMB at GBP 30,000 per QALY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-16,125</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Unfavourable base-case decision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NMB at GBP 50,000 per QALY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12,401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Favourable but uncertain base-case decision</w:t>
            </w:r>
            <w:bookmarkStart w:id="184" w:name="costs-and-outcomes"/>
            <w:bookmarkEnd w:id="184"/>
          </w:p>
        </w:tc>
      </w:tr>
    </w:tbl>
    <w:p>
      <w:pPr>
        <w:pStyle w:val="Heading3"/>
        <w:keepNext w:val="true"/>
        <w:keepLines/>
        <w:rPr/>
      </w:pPr>
      <w:r>
        <w:t>Subgroup Assumptions and Equity</w:t>
      </w:r>
    </w:p>
    <w:p>
      <w:pPr>
        <w:pStyle w:val="FirstParagraph"/>
        <w:rPr/>
      </w:pPr>
      <w:r>
        <w:t>Average performance can conceal unequal access, different case complexity, and unequal waiting. Two synthetic subgroups are used to demonstrate this problem. They are not proxies for any protected characteristic and should be replaced by locally relevant clinical, demographic, geographic, disability, language, or access groups.</w:t>
      </w:r>
    </w:p>
    <w:p>
      <w:pPr>
        <w:pStyle w:val="BodyText"/>
        <w:rPr/>
      </w:pPr>
      <w:r>
        <w:t>Table: Synthetic subgroup assumptions and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1624"/>
        <w:gridCol w:w="1624"/>
        <w:gridCol w:w="1624"/>
        <w:gridCol w:w="1625"/>
        <w:gridCol w:w="1624"/>
        <w:gridCol w:w="1624"/>
      </w:tblGrid>
      <w:tr>
        <w:trPr>
          <w:tblHeader w:val="true"/>
        </w:trPr>
        <w:tc>
          <w:tcPr>
            <w:tcW w:w="1624"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Measure</w:t>
            </w:r>
          </w:p>
        </w:tc>
        <w:tc>
          <w:tcPr>
            <w:tcW w:w="1624"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Group A</w:t>
            </w:r>
          </w:p>
        </w:tc>
        <w:tc>
          <w:tcPr>
            <w:tcW w:w="1624"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Group B</w:t>
            </w:r>
          </w:p>
        </w:tc>
        <w:tc>
          <w:tcPr>
            <w:tcW w:w="1625"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Difference</w:t>
            </w:r>
          </w:p>
        </w:tc>
        <w:tc>
          <w:tcPr>
            <w:tcW w:w="1624"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Why it matters</w:t>
            </w:r>
          </w:p>
        </w:tc>
        <w:tc>
          <w:tcPr>
            <w:tcW w:w="1624"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response</w:t>
            </w:r>
          </w:p>
        </w:tc>
      </w:tr>
      <w:tr>
        <w:trPr/>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 of examinations</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80%</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20%</w:t>
            </w:r>
          </w:p>
        </w:tc>
        <w:tc>
          <w:tcPr>
            <w:tcW w:w="1625"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Different service volume</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Preserve subgroup reporting</w:t>
            </w:r>
          </w:p>
        </w:tc>
      </w:tr>
      <w:tr>
        <w:trPr/>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Cancer prevalence</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0.7%</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1.2%</w:t>
            </w:r>
          </w:p>
        </w:tc>
        <w:tc>
          <w:tcPr>
            <w:tcW w:w="1625"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+0.5 points</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Higher expected need in Group B</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subgroup-specific prevalence</w:t>
            </w:r>
          </w:p>
        </w:tc>
      </w:tr>
      <w:tr>
        <w:trPr/>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sensitivity</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92%</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82%</w:t>
            </w:r>
          </w:p>
        </w:tc>
        <w:tc>
          <w:tcPr>
            <w:tcW w:w="1625"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-10 points</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More false negatives in Group B</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Investigate data, threshold, and workflow causes</w:t>
            </w:r>
          </w:p>
        </w:tc>
      </w:tr>
      <w:tr>
        <w:trPr/>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specificity</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93%</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88%</w:t>
            </w:r>
          </w:p>
        </w:tc>
        <w:tc>
          <w:tcPr>
            <w:tcW w:w="1625"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 points</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More false priorities in Group B</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 review burden and calibration</w:t>
            </w:r>
          </w:p>
        </w:tc>
      </w:tr>
      <w:tr>
        <w:trPr/>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cancer report time</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4.2 days</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6.2 days</w:t>
            </w:r>
          </w:p>
        </w:tc>
        <w:tc>
          <w:tcPr>
            <w:tcW w:w="1625"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+2.0 days</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Existing access difference</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 not interpret equal average benefit as equity</w:t>
            </w:r>
          </w:p>
        </w:tc>
      </w:tr>
      <w:tr>
        <w:trPr/>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cancer report time</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0.84 day</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1.88 days</w:t>
            </w:r>
          </w:p>
        </w:tc>
        <w:tc>
          <w:tcPr>
            <w:tcW w:w="1625"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+1.04 days</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Residual disparity remains after prioritization</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Set subgroup time-to-report conditions</w:t>
            </w:r>
          </w:p>
        </w:tc>
      </w:tr>
      <w:tr>
        <w:trPr/>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False priorities per 1,000 studies</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69.5</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118.6</w:t>
            </w:r>
          </w:p>
        </w:tc>
        <w:tc>
          <w:tcPr>
            <w:tcW w:w="1625"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+49.1</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Greater capacity burden in Group B</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Test alternative thresholds and capacity</w:t>
            </w:r>
          </w:p>
        </w:tc>
      </w:tr>
      <w:tr>
        <w:trPr/>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QALYs gained per 1,000 studies</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0.041</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0.100</w:t>
            </w:r>
          </w:p>
        </w:tc>
        <w:tc>
          <w:tcPr>
            <w:tcW w:w="1625"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+0.059</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Higher potential benefit reflects higher need and longer baseline delay</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 absolute and relative effects together</w:t>
            </w:r>
          </w:p>
        </w:tc>
      </w:tr>
    </w:tbl>
    <w:p>
      <w:pPr>
        <w:pStyle w:val="BodyText"/>
        <w:rPr/>
      </w:pPr>
      <w:r>
        <w:t>The example shows that a group can gain more in absolute terms yet still experience poorer performance and longer reporting times. Equity assessment should therefore consider baseline disadvantage, model performance, access to follow-up, absolute benefit, false-priority burden, and residual disparity rather than relying on one average metric.</w:t>
      </w:r>
    </w:p>
    <w:p>
      <w:pPr>
        <w:pStyle w:val="Heading3"/>
        <w:keepNext w:val="true"/>
        <w:keepLines/>
        <w:rPr/>
      </w:pPr>
      <w:r>
        <w:t>Deterministic Sensitivity Analysis</w:t>
      </w:r>
    </w:p>
    <w:p>
      <w:pPr>
        <w:pStyle w:val="FirstParagraph"/>
        <w:rPr/>
      </w:pPr>
      <w:r>
        <w:t>One-way sensitivity analysis changes one assumption at a time while holding the others at their base values. The base-case NMB at GBP 30,000 per QALY is GBP -16,125. The following table identifies the parameters most capable of changing that conclusion.</w:t>
      </w:r>
    </w:p>
    <w:p>
      <w:pPr>
        <w:pStyle w:val="BodyText"/>
        <w:rPr/>
      </w:pPr>
      <w:r>
        <w:t>Table: Deterministic sensitivity analysis: net monetary benefit at GBP 30,000 per QALY</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1949"/>
        <w:gridCol w:w="1949"/>
        <w:gridCol w:w="1949"/>
        <w:gridCol w:w="1949"/>
        <w:gridCol w:w="1950"/>
      </w:tblGrid>
      <w:tr>
        <w:trPr>
          <w:tblHeader w:val="true"/>
        </w:trPr>
        <w:tc>
          <w:tcPr>
            <w:tcW w:w="19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19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Low value</w:t>
            </w:r>
          </w:p>
        </w:tc>
        <w:tc>
          <w:tcPr>
            <w:tcW w:w="19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High value</w:t>
            </w:r>
          </w:p>
        </w:tc>
        <w:tc>
          <w:tcPr>
            <w:tcW w:w="19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NMB at low</w:t>
            </w:r>
          </w:p>
        </w:tc>
        <w:tc>
          <w:tcPr>
            <w:tcW w:w="195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NMB at high</w:t>
            </w:r>
          </w:p>
        </w:tc>
      </w:tr>
      <w:tr>
        <w:trPr/>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licence</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40,000</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90,000</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8,875</w:t>
            </w:r>
          </w:p>
        </w:tc>
        <w:tc>
          <w:tcPr>
            <w:tcW w:w="195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-41,125</w:t>
            </w:r>
          </w:p>
        </w:tc>
      </w:tr>
      <w:tr>
        <w:trPr/>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sensitivity</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0.80</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0.95</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-25,900</w:t>
            </w:r>
          </w:p>
        </w:tc>
        <w:tc>
          <w:tcPr>
            <w:tcW w:w="195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-11,238</w:t>
            </w:r>
          </w:p>
        </w:tc>
      </w:tr>
      <w:tr>
        <w:trPr/>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specificity</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0.88</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0.96</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-17,911</w:t>
            </w:r>
          </w:p>
        </w:tc>
        <w:tc>
          <w:tcPr>
            <w:tcW w:w="195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-14,339</w:t>
            </w:r>
          </w:p>
        </w:tc>
      </w:tr>
      <w:tr>
        <w:trPr/>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report time</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3.0 days</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7.0 days</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-60,346</w:t>
            </w:r>
          </w:p>
        </w:tc>
        <w:tc>
          <w:tcPr>
            <w:tcW w:w="195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27,654</w:t>
            </w:r>
          </w:p>
        </w:tc>
      </w:tr>
      <w:tr>
        <w:trPr/>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QALY loss per material delay</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0.05</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0.15</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-37,519</w:t>
            </w:r>
          </w:p>
        </w:tc>
        <w:tc>
          <w:tcPr>
            <w:tcW w:w="195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5,270</w:t>
            </w:r>
          </w:p>
        </w:tc>
      </w:tr>
      <w:tr>
        <w:trPr/>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 per material delay</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1,000</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5,000</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-37,519</w:t>
            </w:r>
          </w:p>
        </w:tc>
        <w:tc>
          <w:tcPr>
            <w:tcW w:w="195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19,532</w:t>
            </w:r>
          </w:p>
        </w:tc>
      </w:tr>
      <w:tr>
        <w:trPr/>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Manual triage savings</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0</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40,000</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-36,125</w:t>
            </w:r>
          </w:p>
        </w:tc>
        <w:tc>
          <w:tcPr>
            <w:tcW w:w="195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3,875</w:t>
            </w:r>
          </w:p>
        </w:tc>
      </w:tr>
    </w:tbl>
    <w:p>
      <w:pPr>
        <w:pStyle w:val="BodyText"/>
        <w:rPr/>
      </w:pPr>
      <w:r>
        <w:t>The result is most sensitive to baseline delay, the clinical and economic consequences assigned to delay, programme price, and whether existing manual triage costs are genuinely avoided. Sensitivity and specificity matter, but their influence is smaller within the ranges examined. This pattern directs attention to local workflow and outcome evidence rather than to model accuracy alone.</w:t>
      </w:r>
    </w:p>
    <w:p>
      <w:pPr>
        <w:pStyle w:val="Heading3"/>
        <w:keepNext w:val="true"/>
        <w:keepLines/>
        <w:rPr/>
      </w:pPr>
      <w:r>
        <w:t>Probabilistic Sensitivity Analysis</w:t>
      </w:r>
    </w:p>
    <w:p>
      <w:pPr>
        <w:pStyle w:val="FirstParagraph"/>
        <w:rPr/>
      </w:pPr>
      <w:r>
        <w:t>The PSA jointly samples uncertain parameters and recalculates costs, QALYs, and NMB. The illustrative analysis used 200,000 Monte Carlo samples. Correlation among parameters was not represented, which is a limitation; local analysis should model known dependence among prevalence, performance, delay, costs, and outcomes. Transparent reporting of AI-specific economic evaluation and value-of-information analysis should follow appropriate reporting guidance (3).</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640"/>
        <w:gridCol w:w="2640"/>
        <w:gridCol w:w="2640"/>
      </w:tblGrid>
      <w:tr>
        <w:trPr>
          <w:tblHeader w:val="true"/>
        </w:trPr>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Mean</w:t>
            </w:r>
          </w:p>
        </w:tc>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95% simulation interval</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cost</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59,096</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14,894 to GBP 97,789</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QALYs</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1.421</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0.416 to 2.832</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NMB at GBP 30,000 per QALY</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-16,461</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-74,216 to GBP 54,628</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NMB at GBP 50,000 per QALY</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11,962</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-62,610 to GBP 107,281</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Probability cost-effective at GBP 30,000 per QALY</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28.8%</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Probability cost-effective at GBP 50,000 per QALY</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57.8%</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t>
            </w:r>
          </w:p>
        </w:tc>
      </w:tr>
    </w:tbl>
    <w:p>
      <w:pPr>
        <w:pStyle w:val="BodyText"/>
        <w:rPr/>
      </w:pPr>
      <w:r>
        <w:t>The PSA does not support a confident unrestricted-adoption decision. At the lower threshold, most simulations favour the comparator. At the higher threshold, the intervention is more likely than not to be cost-effective, but uncertainty remains substantial.</w:t>
      </w:r>
    </w:p>
    <w:p>
      <w:pPr>
        <w:pStyle w:val="Heading3"/>
        <w:keepNext w:val="true"/>
        <w:keepLines/>
        <w:rPr/>
      </w:pPr>
      <w:r>
        <w:t>Value of Information</w:t>
      </w:r>
    </w:p>
    <w:p>
      <w:pPr>
        <w:pStyle w:val="FirstParagraph"/>
        <w:rPr/>
      </w:pPr>
      <w:r>
        <w:t>For strategies (j), the expected value of perfect information is</w:t>
      </w:r>
    </w:p>
    <w:p>
      <w:pPr>
        <w:pStyle w:val="BodyText"/>
        <w:jc w:val="centre"/>
        <w:rPr/>
      </w:pPr>
      <w:r/>
    </w:p>
    <w:p>
      <w:pPr>
        <w:pStyle w:val="FirstParagraph"/>
        <w:rPr/>
      </w:pPr>
      <w:r>
        <w:t>EVPI is the maximum expected benefit of eliminating all current parameter uncertainty before deciding. It is not the amount that should automatically be spent on research; research cost, delay, feasibility, and the number of future patients affected must also be considered. Reporting should follow transparent value-of-information guidance (4).</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436"/>
        <w:gridCol w:w="2436"/>
        <w:gridCol w:w="2437"/>
        <w:gridCol w:w="2436"/>
      </w:tblGrid>
      <w:tr>
        <w:trPr>
          <w:tblHeader w:val="true"/>
        </w:trPr>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Threshold</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Population EVPI</w:t>
            </w:r>
          </w:p>
        </w:tc>
        <w:tc>
          <w:tcPr>
            <w:tcW w:w="2437"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EVPI per examination</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30,000 per QALY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6,817</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0.27</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Limited value for an expensive definitive study serving only one annual cohort</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50,000 per QALY</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11,468</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0.46</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Greater value because the decision is closer to equipoise</w:t>
            </w:r>
          </w:p>
        </w:tc>
      </w:tr>
    </w:tbl>
    <w:p>
      <w:pPr>
        <w:pStyle w:val="BodyText"/>
        <w:rPr/>
      </w:pPr>
      <w:r>
        <w:t>The most useful additional evidence would concern the local relationship between reporting delay and patient outcomes, priority performance in clinically and socially relevant subgroups, queue behaviour during capacity disruption, and the extent to which manual triage work is truly removed. Licence price is influential, but it is primarily a negotiation variable rather than a research parameter. A low-cost silent or controlled pilot may therefore be more proportionate than a large new accuracy study.</w:t>
      </w:r>
    </w:p>
    <w:p>
      <w:pPr>
        <w:pStyle w:val="Heading3"/>
        <w:keepNext w:val="true"/>
        <w:keepLines/>
        <w:rPr/>
      </w:pPr>
      <w:r>
        <w:t>Interpretation</w:t>
      </w:r>
    </w:p>
    <w:p>
      <w:pPr>
        <w:pStyle w:val="FirstParagraph"/>
        <w:rPr/>
      </w:pPr>
      <w:r>
        <w:t>The hybrid model reaches four main conclusions. - Prioritization can reduce reporting delay for cancer cases without changing total reading capacity, but the gain is partly financed by longer waiting among routine studies. - False negatives are the principal clinical risk, whereas false positives create review burden and an opportunity cost for the routine queue. - The base case is not cost-effective at GBP 30,000 per QALY and is only moderately favourable at GBP 50,000 per QALY. Price, baseline delay, delay-related consequences, and realised operational savings are more decision-critical than small changes in specificity. - Average results are insufficient. The subgroup example shows that higher absolute benefit may coexist with poorer sensitivity, more false priorities, and longer residual delay.</w:t>
      </w:r>
    </w:p>
    <w:p>
      <w:pPr>
        <w:pStyle w:val="BodyText"/>
        <w:rPr/>
      </w:pPr>
      <w:r>
        <w:t>The model is intentionally simplified. It omits disease-stage transitions, treatment-capacity constraints, diagnostic anxiety, reader learning, model drift, material updates, environmental costs, and correlations among uncertain parameters. These omissions should be addressed when they could change the institutional decision. Credible modelling requires explicit context of use, version control, verification, validation, limitations, and independent review proportionate to consequence (5).</w:t>
      </w:r>
    </w:p>
    <w:p>
      <w:pPr>
        <w:pStyle w:val="Heading3"/>
        <w:keepNext w:val="true"/>
        <w:keepLines/>
        <w:rPr/>
      </w:pPr>
      <w:r>
        <w:t>Recommendation and Decision Conditions</w:t>
      </w:r>
    </w:p>
    <w:p>
      <w:pPr>
        <w:pStyle w:val="FirstParagraph"/>
        <w:rPr/>
      </w:pPr>
      <w:r>
        <w:t>The worked result does not support immediate unrestricted adoption at the base-case price and a GBP 30,000-per-QALY threshold. A controlled local pilot is more defensible because the intervention may create value if local delays are substantial, subgroup performance is acceptable, manual triage costs are removed, and price exposure is reduced.</w:t>
      </w:r>
    </w:p>
    <w:p>
      <w:pPr>
        <w:pStyle w:val="BodyText"/>
        <w:rPr/>
      </w:pPr>
      <w:r>
        <w:t>At the base-case assumptions, the maximum annual licence compatible with zero NMB at GBP 30,000 per QALY is approximately GBP 48,875. At GBP 50,000 per QALY, the corresponding threshold is approximately GBP 77,401. These values are negotiation thresholds derived from the worked assumptions, not market prices.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Domain</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Condition</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response if not met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performance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sensitivity and calibration are acceptable for the intended pathway and relevant subgroups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Recalibrate, change threshold, restrict use, or stop</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performance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cancer reporting time is no more than 1.5 days, while routine mean and 90th-percentile delay remain within agreed limits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 capacity, redesign the queue, restrict priority volume, or stop</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Safety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Every false-negative cancer case and any materially delayed diagnosis is reviewed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Investigate, contain, revise threshold, and reassess intended use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Equity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Subgroup sensitivity, false-priority burden, access to follow-up, and time to report meet predefined conditions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Mitigate, redesign, restrict, or do not scale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Price and realised offsets produce non-negative NMB at the institution’s approved threshold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Renegotiate, reduce scope, or do not adopt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Governance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 interpretation, audit logs, version control, incident response, rollback, and named accountability remain operational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Pause use until controls are restored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review</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Results are reviewed after six and twelve months using a locked protocol and archived model version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Continue only with documented approval and conditions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Exit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 export, workflow restoration, contract termination, and communication arrangements are tested before dependency increases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 not scale until exit capability is credible</w:t>
            </w:r>
          </w:p>
        </w:tc>
      </w:tr>
    </w:tbl>
    <w:p>
      <w:pPr>
        <w:pStyle w:val="BodyText"/>
        <w:rPr/>
      </w:pPr>
      <w:r>
        <w:t>The final decision should be recorded as one of the following: do not proceed; redesign and repeat; conduct a controlled pilot; adopt with conditions; scale; restrict; pause; replace; or retire. The recommendation should identify the model version, evidence cut-off, accountable owner, unresolved uncertainty, next review date, and stop criteria.</w:t>
      </w:r>
    </w:p>
    <w:p>
      <w:pPr>
        <w:pStyle w:val="Heading4"/>
        <w:keepNext w:val="true"/>
        <w:keepLines/>
        <w:rPr/>
      </w:pPr>
      <w:r>
        <w:t>Recommended Companion Files</w:t>
      </w:r>
    </w:p>
    <w:p>
      <w:pPr>
        <w:pStyle w:val="FirstParagraph"/>
        <w:rPr/>
      </w:pPr>
      <w:r>
        <w:t>For a reproducible digital release, this printable narrative should be distributed with: - a parameter workbook in XLSX and ODS formats; - synthetic input data in CSV and JSON formats; - a standard Python script and a Jupyter notebook implementing the queue, economic, subgroup, PSA, and EVPI calculations; - machine-readable model outputs and a static decision summary; - a data dictionary, model specification, test log, software-environment file, random seed, and version history; and - a blank institutional adaptation template that separates local evidence from the synthetic worked values.</w:t>
      </w:r>
    </w:p>
    <w:p>
      <w:pPr>
        <w:pStyle w:val="Heading3"/>
        <w:keepNext w:val="true"/>
        <w:keepLines/>
        <w:rPr/>
      </w:pPr>
      <w:r>
        <w:t>Supplemental Resources</w:t>
      </w:r>
    </w:p>
    <w:p>
      <w:pPr>
        <w:pStyle w:val="FirstParagraph"/>
        <w:rPr/>
      </w:pPr>
      <w:r>
        <w:t>These supplemental resources translate the Chapter 8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8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Specification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Verification, Validation, and Reproducibility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Uncertainty and Value-of-Information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Model Specification</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Verification, Validation, and Reproducibility</w:t>
      </w:r>
    </w:p>
    <w:p>
      <w:pPr>
        <w:pStyle w:val="FirstParagraph"/>
        <w:rPr/>
      </w:pPr>
      <w:r>
        <w:t>The following sequence converts findings into accountable action. The local record should name the responsible person for each activity, the completion date, the evidence of completion, and any residual uncertainty. - Specify the comparator, human reading workflow, priority threshold, queue discipline, and downstream pathway. - Use a classification decision tree to estimate true-positive, false-negative, false-positive, and true-negative consequences. - Use discrete-event simulation or a queueing model to estimate time-to-report distributions under constrained reader capacity. - Link material diagnostic delay to downstream cost and QALY consequences. - Represent subgroup prevalence, performance, access, and delay distributions explicitly. - Conduct deterministic sensitivity analysis, probabilistic sensitivity analysis, and value-of-information analysis.</w:t>
      </w:r>
    </w:p>
    <w:p>
      <w:pPr>
        <w:pStyle w:val="Heading4"/>
        <w:keepNext w:val="true"/>
        <w:keepLines/>
        <w:rPr/>
      </w:pPr>
      <w:r>
        <w:t>Uncertainty and Value-of-Information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8</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model</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explicit simplification of a decision problem and its causal and operational structure.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Simulation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Computational representation of events, histories, queues, actors, or feedback.</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Value of information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expected benefit of reducing uncertainty before or during commitment.</w:t>
            </w:r>
            <w:bookmarkStart w:id="204" w:name="key-terms-7"/>
            <w:bookmarkEnd w:id="204"/>
          </w:p>
        </w:tc>
      </w:tr>
    </w:tbl>
    <w:p>
      <w:pPr>
        <w:pStyle w:val="Heading4"/>
        <w:keepNext w:val="true"/>
        <w:keepLines/>
        <w:rPr/>
      </w:pPr>
      <w:r>
        <w:t>Status and Appropriate Use of Selected Instruments</w:t>
      </w:r>
    </w:p>
    <w:p>
      <w:pPr>
        <w:pStyle w:val="FirstParagraph"/>
        <w:rPr/>
      </w:pPr>
      <w:r>
        <w:t>Table: Selected instruments relevant to Chapter 8</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tree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structure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Suitable for short, nonrecurrent pathways.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State-transition model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structure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Represents repeated movement among health states.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Microsimulation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Individual-level model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Represents heterogeneity and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Simulation method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Represents queues, resources, events, and timing.</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ABM/system dynamics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Simulation methods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Represent interactions or aggregate feedback.</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CHEERS-VOI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reporting of value-of-information analysis.</w:t>
            </w:r>
          </w:p>
        </w:tc>
      </w:tr>
    </w:tbl>
    <w:p>
      <w:pPr>
        <w:pStyle w:val="Heading4"/>
        <w:keepNext w:val="true"/>
        <w:keepLines/>
        <w:rPr/>
      </w:pPr>
      <w:r>
        <w:t>Formula and Interpretation Note</w:t>
      </w:r>
    </w:p>
    <w:p>
      <w:pPr>
        <w:pStyle w:val="FirstParagraph"/>
        <w:rPr/>
      </w:pPr>
      <w:r>
        <w:t>The following relationship is used in Chapter 8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AIHE-CASE08 — Imaging Prioritization Decision Model and Value of Information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Which uncertainty is most likely to change the adoption decision, and is further evidence worth its cost?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AIHE-B05 — Model Selection, Uncertainty, and Reproducibility</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 a decision model from the problem structure and document evidence, verification, uncertainty, and reproducibility.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AIHE-RG05 — Scenario Planning and Real-Options Worksheet</w:t>
            </w:r>
            <w:r>
              <w:rPr>
                <w:rFonts w:cs=""/>
                <w:kern w:val="0"/>
                <w:sz w:val="16"/>
                <w:szCs w:val="24"/>
                <w:lang w:val="en-GB" w:eastAsia="en-US" w:bidi="ar-SA"/>
              </w:rPr>
              <w:t xml:space="preserve"> Reference guide; docx; odt; xlsx; ods; csv; json;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Examine uncertainty through alternative futures, thresholds, staged commitments, learning options, contract flexibility, and explicit exit criteria.</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AIHE-PY14 — Deterministic sensitivity and tornado analysis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Tests how one uncertain input at a time changes net monetary benefit or another linear decision outcome and ranks decision drivers.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AIHE-PY15 — Probabilistic sensitivity analysis, CEAC, and EVPI</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Propagates uncertainty in incremental costs and effects through Monte Carlo simulation, estimates cost-effectiveness probabilities across thresholds, and computes expected value of perfect information.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AIHE-PY18 — Decision-tree pathway model</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Calculates expected cost, effect, events, and net monetary benefit for short AI and comparator pathways with mutually exclusive outcome branches.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AIHE-PY19 — Markov cohort model for long-term AI evaluation</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Simulates repeated transitions among health states for AI and usual care, accumulating discounted costs and QALYs over time.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AIHE-PY20 — Patient-level microsimulation</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Simulates heterogeneous patients over repeated cycles so history, subgroup risk, adherence, and individual outcomes can affect AI value.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AIHE-AF — Evidence, Reporting, and Assurance Crosswalk</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Match evidence and assurance needs to reporting standards, appraisal tools, lifecycle guidance, and management systems.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AIHE-EX04 — Evidence and Assumption Log</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Link each material claim and assumption to evidence, quality, applicability, uncertainty, owner, and action.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AIHE-EX06 — Model Card and AI Intervention Fact Sheet</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Record the exact system, version, intended and prohibited uses, evidence, limitations, human oversight, and monitoring.</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AIHE-EX15 — Analytic and Simulation Method Selection Guide</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 decision trees, Markov models, microsimulation, discrete-event simulation, system dynamics, or agent-based modeling by problem structure.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AIHE-EX16 — Reproducible Analysis, Model Risk, and Code Quality Checklist</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Verify data provenance, environments, versioning, testing, validation, uncertainty, security, release, and archive controls.</w:t>
            </w:r>
          </w:p>
        </w:tc>
      </w:tr>
    </w:tbl>
    <w:p>
      <w:pPr>
        <w:pStyle w:val="Heading2"/>
        <w:keepNext w:val="true"/>
        <w:keepLines/>
        <w:pBdr>
          <w:bottom w:val="single" w:sz="8" w:space="4" w:color="B58A95"/>
        </w:pBdr>
        <w:rPr/>
      </w:pPr>
      <w:r>
        <w:t>Chapter 9: Problem-First Procurement and Vendor Governance</w:t>
      </w:r>
    </w:p>
    <w:p>
      <w:pPr>
        <w:pStyle w:val="Heading3"/>
        <w:keepNext w:val="true"/>
        <w:keepLines/>
        <w:rPr/>
      </w:pPr>
      <w:r>
        <w:t>Chapter Orientation</w:t>
      </w:r>
    </w:p>
    <w:p>
      <w:pPr>
        <w:pStyle w:val="FirstParagraph"/>
        <w:rPr/>
      </w:pPr>
      <w:r>
        <w:t>Chapter 9 translates the problem, evidence, economics, safeguards, and implementation requirements into procurement and continuing vendor governance. The resources support pre-procurement specification, due diligence, non-compensatory safeguards, weighted comparison, update control, audit rights, pricing, continuity, renegotiation, and exit.</w:t>
      </w:r>
    </w:p>
    <w:p>
      <w:pPr>
        <w:pStyle w:val="BodyText"/>
        <w:rPr/>
      </w:pPr>
      <w:r>
        <w:t>Use this suite before tendering, during vendor evaluation, at contract negotiation, and when renewal or renegotiation is required. The records are designed to reduce information asymmetry and to preserve local evidence access, monitoring, portability, rollback, and decommissioning options.</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Vendor Procurement and Renegotiation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Pre-Procurement Requirements; Vendor Scorecard and Mandatory Safeguards; Contract, Renegotiation, and Exit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Problem-first procurement, Mandatory safeguard, Vendor governance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core, 2 python analytics, 3 supplemental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210" w:name="resource-suite-at-a-glance-8"/>
            <w:bookmarkEnd w:id="210"/>
          </w:p>
        </w:tc>
      </w:tr>
    </w:tbl>
    <w:p>
      <w:pPr>
        <w:pStyle w:val="Heading3"/>
        <w:keepNext w:val="true"/>
        <w:keepLines/>
        <w:rPr/>
      </w:pPr>
      <w:r>
        <w:t>Worked Example: Vendor Procurement and Renegotiation</w:t>
      </w:r>
    </w:p>
    <w:p>
      <w:pPr>
        <w:pStyle w:val="Heading4"/>
        <w:keepNext w:val="true"/>
        <w:keepLines/>
        <w:rPr/>
      </w:pPr>
      <w:r>
        <w:t>Purpose and Status</w:t>
      </w:r>
    </w:p>
    <w:p>
      <w:pPr>
        <w:pStyle w:val="FirstParagraph"/>
        <w:rPr/>
      </w:pPr>
      <w:r>
        <w:t>A hospital is procuring a clinically consequential AI platform. Three vendors differ in evidence quality, interoperability, pricing, monitoring access, update control, and exit support. A prior procurement also requires renegotiation because implementation costs and vendor restrictions exceeded the original assumptions.</w:t>
      </w:r>
    </w:p>
    <w:p>
      <w:pPr>
        <w:pStyle w:val="Heading4"/>
        <w:keepNext w:val="true"/>
        <w:keepLines/>
        <w:rPr/>
      </w:pPr>
      <w:r>
        <w:t>Decision Problem and Comparators</w:t>
      </w:r>
    </w:p>
    <w:p>
      <w:pPr>
        <w:pStyle w:val="FirstParagraph"/>
        <w:rPr/>
      </w:pPr>
      <w:r>
        <w:t>Decision problem. Which vendor, if any, should proceed to a controlled contract, and what remedies or exit actions are required for the existing platform?</w:t>
      </w:r>
    </w:p>
    <w:p>
      <w:pPr>
        <w:pStyle w:val="BodyText"/>
        <w:rPr/>
      </w:pPr>
      <w:r>
        <w:t>Table: Comparators for the Chapter 9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A: strong evidence, high fixed price</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B: lower price, limited monitoring access</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C: shared-service model with stronger exit terms</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Internal or non-AI process alternative</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Renegotiate, replace, restrict, or retire the existing platform</w:t>
            </w:r>
            <w:bookmarkStart w:id="213" w:name="decision-problem-and-comparators-7"/>
            <w:bookmarkEnd w:id="213"/>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9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Mandatory safeguard domains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Procurement specification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Weighted domains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scorecard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annual volume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180,000 uses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Activity forecast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Maximum acceptable variable exposure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420,000/year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Budget condition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Required update notice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90 days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Contract requirement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Minimum data-export period after termination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12 months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Continuity requirement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Remediation period for existing vendor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120 days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Renegotiation proposal</w:t>
            </w:r>
            <w:bookmarkStart w:id="214" w:name="X0fd3188d5edf1e5e55bcaca5ef4cabfaa029573"/>
            <w:bookmarkEnd w:id="214"/>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service problem, comparator set, intended and excluded uses, and measurable outcomes.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 version-matched evidence and complete technical, data, security, economic, and workflow due diligence.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Apply mandatory safeguards before weighted comparison.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pricing and lifecycle cost under realistic volume, update, support, and exit scenarios.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Convert monitoring, audit, update, continuity, portability, and exit requirements into enforceable clauses.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For the existing platform, compare prospective continuation, renegotiation, restriction, replacement, and decommissioning without allowing sunk cost to determine the decision.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B weighted score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Highest before safeguards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Ineligible because monitoring access fails a mandatory requirement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A evidence profile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Strongest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Price and exit terms require negotiation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C continuity profile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Strongest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evidence and governance arrangements require confirmation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Existing vendor decision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Time-limited remediation with parallel exit plan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Continuation is conditional</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award approach</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Competitive dialogue followed by conditional contract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 automatic award from aggregate score</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Proceed only with a vendor that passes every mandatory safeguard and accepts version-specific evidence, monitoring access, transparent pricing, material-change control, continuity, and exit obligations. Continue the existing platform only under a time-limited remediation agreement and maintain a funded replacement plan.</w:t>
      </w:r>
    </w:p>
    <w:p>
      <w:pPr>
        <w:pStyle w:val="Compact"/>
        <w:numPr>
          <w:ilvl w:val="0"/>
          <w:numId w:val="64"/>
        </w:numPr>
        <w:rPr/>
      </w:pPr>
      <w:r>
        <w:t>mandatory safeguards are evaluated independently of weighted preferences.</w:t>
      </w:r>
    </w:p>
    <w:p>
      <w:pPr>
        <w:pStyle w:val="Compact"/>
        <w:numPr>
          <w:ilvl w:val="0"/>
          <w:numId w:val="65"/>
        </w:numPr>
        <w:rPr/>
      </w:pPr>
      <w:r>
        <w:t>missing evidence receives clarification, conservative treatment, or exclusion.</w:t>
      </w:r>
    </w:p>
    <w:p>
      <w:pPr>
        <w:pStyle w:val="Compact"/>
        <w:numPr>
          <w:ilvl w:val="0"/>
          <w:numId w:val="66"/>
        </w:numPr>
        <w:rPr/>
      </w:pPr>
      <w:r>
        <w:t>contracted pricing includes integration, monitoring, updates, incident support, and exit.</w:t>
      </w:r>
    </w:p>
    <w:p>
      <w:pPr>
        <w:pStyle w:val="Compact"/>
        <w:numPr>
          <w:ilvl w:val="0"/>
          <w:numId w:val="67"/>
        </w:numPr>
        <w:rPr/>
      </w:pPr>
      <w:r>
        <w:t>the institution retains audit, data, log, and publication rights needed for accountability.</w:t>
      </w:r>
    </w:p>
    <w:p>
      <w:pPr>
        <w:pStyle w:val="Compact"/>
        <w:numPr>
          <w:ilvl w:val="0"/>
          <w:numId w:val="68"/>
        </w:numPr>
        <w:rPr/>
      </w:pPr>
      <w:r>
        <w:t>renewal is linked to realized value and current evidence rather than sunk cost.</w:t>
      </w:r>
    </w:p>
    <w:p>
      <w:pPr>
        <w:pStyle w:val="Heading3"/>
        <w:keepNext w:val="true"/>
        <w:keepLines/>
        <w:rPr/>
      </w:pPr>
      <w:r>
        <w:t>Supplemental Resources</w:t>
      </w:r>
    </w:p>
    <w:p>
      <w:pPr>
        <w:pStyle w:val="FirstParagraph"/>
        <w:rPr/>
      </w:pPr>
      <w:r>
        <w:t>These supplemental resources translate the Chapter 9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9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Pre-Procurement Requirements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Scorecard and Mandatory Safeguards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Contract, Renegotiation, and Exit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Pre-Procurement Requirements</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Vendor Scorecard and Mandatory Safeguards</w:t>
      </w:r>
    </w:p>
    <w:p>
      <w:pPr>
        <w:pStyle w:val="FirstParagraph"/>
        <w:rPr/>
      </w:pPr>
      <w:r>
        <w:t>The following sequence converts findings into accountable action. The local record should name the responsible person for each activity, the completion date, the evidence of completion, and any residual uncertainty. - Define the service problem, comparator set, intended and excluded uses, and measurable outcomes. - Require version-matched evidence and complete technical, data, security, economic, and workflow due diligence. - Apply mandatory safeguards before weighted comparison. - Model pricing and lifecycle cost under realistic volume, update, support, and exit scenarios. - Convert monitoring, audit, update, continuity, portability, and exit requirements into enforceable clauses. - For the existing platform, compare prospective continuation, renegotiation, restriction, replacement, and decommissioning without allowing sunk cost to determine the decision.</w:t>
      </w:r>
    </w:p>
    <w:p>
      <w:pPr>
        <w:pStyle w:val="Heading4"/>
        <w:keepNext w:val="true"/>
        <w:keepLines/>
        <w:rPr/>
      </w:pPr>
      <w:r>
        <w:t>Contract, Renegotiation, and Exit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9</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Problem-first procurement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process that defines need, comparator, evidence, and safeguards before product selection.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Mandatory safeguard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non-compensatory requirement that must be met before weighted comparison.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governance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Continuing oversight of evidence, performance, change, continuity, and exit after award.</w:t>
            </w:r>
            <w:bookmarkStart w:id="225" w:name="key-terms-8"/>
            <w:bookmarkEnd w:id="225"/>
          </w:p>
        </w:tc>
      </w:tr>
    </w:tbl>
    <w:p>
      <w:pPr>
        <w:pStyle w:val="Heading4"/>
        <w:keepNext w:val="true"/>
        <w:keepLines/>
        <w:rPr/>
      </w:pPr>
      <w:r>
        <w:t>Status and Appropriate Use of Selected Instruments</w:t>
      </w:r>
    </w:p>
    <w:p>
      <w:pPr>
        <w:pStyle w:val="FirstParagraph"/>
        <w:rPr/>
      </w:pPr>
      <w:r>
        <w:t>Table: Selected instruments relevant to Chapter 9</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NICE Evidence Standards Framework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guidance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evidence planning for digital health technologies.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DTAC</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Jurisdiction-specific assessment criteria</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baseline digital-technology due diligence in England.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 model contractual clauses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Public procurement resource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Provides adaptable AI contractual clauses.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FAIR-AI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and review framework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Links pre-implementation review with post-implementation monitoring.</w:t>
            </w:r>
          </w:p>
        </w:tc>
      </w:tr>
    </w:tbl>
    <w:p>
      <w:pPr>
        <w:pStyle w:val="Heading4"/>
        <w:keepNext w:val="true"/>
        <w:keepLines/>
        <w:rPr/>
      </w:pPr>
      <w:r>
        <w:t>Formula and Interpretation Note</w:t>
      </w:r>
    </w:p>
    <w:p>
      <w:pPr>
        <w:pStyle w:val="FirstParagraph"/>
        <w:rPr/>
      </w:pPr>
      <w:r>
        <w:t>The following relationship is used in Chapter 9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AIHE-CASE09 — AI Vendor Procurement and Contract Negotiation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How should the hospital compare vendors when a lower price is accompanied by weak audit, security, update, and exit provisions?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AIHE-D01 — Vendor Evidence and Contract Requirements</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Translate evidence, interoperability, data, security, monitoring, update, service, remedy, portability, and exit requirements into contract terms.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AIHE-PY17 — AI pricing and contract scenario analysis</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Compares subscription, per-use, risk-sharing, and hybrid pricing arrangements under different volume, uptake, performance, and savings assumptions.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AIHE-PY25 — Weighted procurement scorecard with mandatory safeguards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Ranks candidate AI products using weighted evidence domains while enforcing non-compensatory safety, privacy, equity, cybersecurity, audit, and exit safeguards.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AIHE-D — AI Procurement Checklist</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 problem fit, evidence, integration, lifecycle cost, data rights, security, monitoring, updates, audit, and exit.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AIHE-EX08 — Vendor Demonstration Evaluation Form</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 demonstrations around real workflows, evidence, limitations, usability, interoperability, monitoring, and unsupported claims.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AIHE-EX09 — Contract Requirements and Exit Matrix</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intended use, evidence, audit, updates, data, security, service levels, pricing, termination, portability, and decommissioning clauses.</w:t>
            </w:r>
          </w:p>
        </w:tc>
      </w:tr>
    </w:tbl>
    <w:p>
      <w:pPr>
        <w:pStyle w:val="Heading1"/>
        <w:keepNext w:val="true"/>
        <w:keepLines/>
        <w:pBdr>
          <w:bottom w:val="single" w:sz="8" w:space="4" w:color="B58A95"/>
        </w:pBdr>
        <w:rPr/>
      </w:pPr>
      <w:r>
        <w:t>Part IV: Governance, Evidence, and Lifecycle Decision-Making</w:t>
      </w:r>
    </w:p>
    <w:p>
      <w:pPr>
        <w:pStyle w:val="FirstParagraph"/>
        <w:rPr/>
      </w:pPr>
      <w:r>
        <w:t>This Part brings governance, accountability, evidence, validation, lifecycle operations, and continuing decision-making into one institutional system.</w:t>
      </w:r>
    </w:p>
    <w:p>
      <w:pPr>
        <w:pStyle w:val="Heading2"/>
        <w:keepNext w:val="true"/>
        <w:keepLines/>
        <w:pBdr>
          <w:bottom w:val="single" w:sz="8" w:space="4" w:color="B58A95"/>
        </w:pBdr>
        <w:rPr/>
      </w:pPr>
      <w:r>
        <w:t>Chapter 10: Governance, Accountability, and Institutional Risk</w:t>
      </w:r>
    </w:p>
    <w:p>
      <w:pPr>
        <w:pStyle w:val="Heading3"/>
        <w:keepNext w:val="true"/>
        <w:keepLines/>
        <w:rPr/>
      </w:pPr>
      <w:r>
        <w:t>Chapter Orientation</w:t>
      </w:r>
    </w:p>
    <w:p>
      <w:pPr>
        <w:pStyle w:val="FirstParagraph"/>
        <w:rPr/>
      </w:pPr>
      <w:r>
        <w:t>Chapter 10 integrates governance, accountability, privacy, cybersecurity, equity, digital inclusion, trust, and institutional risk. The resources make decision rights explicit and prevent favourable expected value from compensating for an unacceptable safeguard failure.</w:t>
      </w:r>
    </w:p>
    <w:p>
      <w:pPr>
        <w:pStyle w:val="BodyText"/>
        <w:rPr/>
      </w:pPr>
      <w:r>
        <w:t>Use this suite for patient-facing systems, consequential decision support, public communication, and any intervention whose risks extend beyond technical performance. The outputs should identify affected groups, lawful authority, meaningful human routes, accessibility, incident response, residual risk, and the authority to restrict or stop use.</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Patient-Facing Chatbot and Digital Inclusion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Governance and Accountability Record; Integrated Institutional-Risk Register; Patient-Facing AI Assurance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Governance, Accountability, Institutional risk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core, 3 python analytics, 1 reference guide, 6 supplemental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232" w:name="resource-suite-at-a-glance-9"/>
            <w:bookmarkEnd w:id="232"/>
          </w:p>
        </w:tc>
      </w:tr>
    </w:tbl>
    <w:p>
      <w:pPr>
        <w:pStyle w:val="Heading3"/>
        <w:keepNext w:val="true"/>
        <w:keepLines/>
        <w:rPr/>
      </w:pPr>
      <w:r>
        <w:t>Worked Example: Patient-Facing Chatbot and Digital Inclusion</w:t>
      </w:r>
    </w:p>
    <w:p>
      <w:pPr>
        <w:pStyle w:val="Heading4"/>
        <w:keepNext w:val="true"/>
        <w:keepLines/>
        <w:rPr/>
      </w:pPr>
      <w:r>
        <w:t>Purpose and Status</w:t>
      </w:r>
    </w:p>
    <w:p>
      <w:pPr>
        <w:pStyle w:val="FirstParagraph"/>
        <w:rPr/>
      </w:pPr>
      <w:r>
        <w:t>A hospital proposes a multilingual patient-facing chatbot for appointment guidance, preparation instructions, and symptom navigation. The intervention could improve access but may also create factual, privacy, cybersecurity, accessibility, workload, and trust risks.</w:t>
      </w:r>
    </w:p>
    <w:p>
      <w:pPr>
        <w:pStyle w:val="Heading4"/>
        <w:keepNext w:val="true"/>
        <w:keepLines/>
        <w:rPr/>
      </w:pPr>
      <w:r>
        <w:t>Decision Problem and Comparators</w:t>
      </w:r>
    </w:p>
    <w:p>
      <w:pPr>
        <w:pStyle w:val="FirstParagraph"/>
        <w:rPr/>
      </w:pPr>
      <w:r>
        <w:t>Decision problem. Should the chatbot be piloted, restricted to administrative tasks, redesigned with human escalation, or rejected in favour of non-AI navigation improvements?</w:t>
      </w:r>
    </w:p>
    <w:p>
      <w:pPr>
        <w:pStyle w:val="BodyText"/>
        <w:rPr/>
      </w:pPr>
      <w:r>
        <w:t>Table: Comparators for the Chapter 10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Improved static web and printed information</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Call-centre redesign and multilingual staffing</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Rules-based conversational interface</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Restricted AI chatbot with human escalation</w:t>
            </w:r>
            <w:bookmarkStart w:id="235" w:name="decision-problem-and-comparators-8"/>
            <w:bookmarkEnd w:id="235"/>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10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Languages proposed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Service plan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 of users requiring assisted digital access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Patient survey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Queries classified as clinically consequential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24%</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Retrospective sample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 escalation target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Under 5 minutes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Safety requirement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Retention of interaction logs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30 days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Draft policy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annual interactions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420,000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Activity forecast</w:t>
            </w:r>
            <w:bookmarkStart w:id="236" w:name="Xf7ba0143911b4f723b74e0845489fa462a5f46b"/>
            <w:bookmarkEnd w:id="236"/>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allowed, prohibited, and escalation-required tasks.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Map data flows, third parties, retention, logging, and model-service dependencies.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factuality, information integrity, privacy, cybersecurity, language, accessibility, and digital inclusion.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 the effect on call-centre demand, repeat contacts, abandonment, and downstream services.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Assign accountability, incident communication, contestability, and stopping authority.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Pilot only where essential non-digital routes remain available and monitoring can detect differential use and harm.</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Suitable initial scope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Administrative guidance and verified preparation instructions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Symptom advice remains restricted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Primary equity risk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Exclusion of users with language, disability, literacy, connectivity, or trust barriers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human alternatives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Primary governance risk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Unclear responsibility for harmful or incomplete advice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explicit escalation and logs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call reduction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Uncertain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Must account for repeat and escalated contacts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Restricted pilot with independent content verification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unrestricted patient-facing deployment</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Pilot a restricted, clearly disclosed service for low-consequence tasks, preserve immediate human alternatives, and prohibit unsupported diagnosis or treatment advice. Expansion should depend on effective access and outcome evidence rather than interaction volume.</w:t>
      </w:r>
    </w:p>
    <w:p>
      <w:pPr>
        <w:pStyle w:val="Compact"/>
        <w:numPr>
          <w:ilvl w:val="0"/>
          <w:numId w:val="69"/>
        </w:numPr>
        <w:rPr/>
      </w:pPr>
      <w:r>
        <w:t>all content domains have accountable clinical or operational owners.</w:t>
      </w:r>
    </w:p>
    <w:p>
      <w:pPr>
        <w:pStyle w:val="Compact"/>
        <w:numPr>
          <w:ilvl w:val="0"/>
          <w:numId w:val="70"/>
        </w:numPr>
        <w:rPr/>
      </w:pPr>
      <w:r>
        <w:t>language and accessibility testing includes affected users.</w:t>
      </w:r>
    </w:p>
    <w:p>
      <w:pPr>
        <w:pStyle w:val="Compact"/>
        <w:numPr>
          <w:ilvl w:val="0"/>
          <w:numId w:val="71"/>
        </w:numPr>
        <w:rPr/>
      </w:pPr>
      <w:r>
        <w:t>privacy, retention, and third-party data use are transparent and minimized.</w:t>
      </w:r>
    </w:p>
    <w:p>
      <w:pPr>
        <w:pStyle w:val="Compact"/>
        <w:numPr>
          <w:ilvl w:val="0"/>
          <w:numId w:val="72"/>
        </w:numPr>
        <w:rPr/>
      </w:pPr>
      <w:r>
        <w:t>escalation reliability and abandonment are monitored by subgroup.</w:t>
      </w:r>
    </w:p>
    <w:p>
      <w:pPr>
        <w:pStyle w:val="Compact"/>
        <w:numPr>
          <w:ilvl w:val="0"/>
          <w:numId w:val="73"/>
        </w:numPr>
        <w:rPr/>
      </w:pPr>
      <w:r>
        <w:t>a serious factual, privacy, security, or equity failure triggers immediate restriction and review.</w:t>
      </w:r>
    </w:p>
    <w:p>
      <w:pPr>
        <w:pStyle w:val="Heading3"/>
        <w:keepNext w:val="true"/>
        <w:keepLines/>
        <w:rPr/>
      </w:pPr>
      <w:r>
        <w:t>Supplemental Resources</w:t>
      </w:r>
    </w:p>
    <w:p>
      <w:pPr>
        <w:pStyle w:val="FirstParagraph"/>
        <w:rPr/>
      </w:pPr>
      <w:r>
        <w:t>These supplemental resources translate the Chapter 10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10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Governance and Accountability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Integrated Institutional-Risk Register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Patient-Facing AI Assurance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Governance and Accountability Record</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Integrated Institutional-Risk Register</w:t>
      </w:r>
    </w:p>
    <w:p>
      <w:pPr>
        <w:pStyle w:val="FirstParagraph"/>
        <w:rPr/>
      </w:pPr>
      <w:r>
        <w:t>The following sequence converts findings into accountable action. The local record should name the responsible person for each activity, the completion date, the evidence of completion, and any residual uncertainty. - Define allowed, prohibited, and escalation-required tasks. - Map data flows, third parties, retention, logging, and model-service dependencies. - Assess factuality, information integrity, privacy, cybersecurity, language, accessibility, and digital inclusion. - Estimate the effect on call-centre demand, repeat contacts, abandonment, and downstream services. - Assign accountability, incident communication, contestability, and stopping authority. - Pilot only where essential non-digital routes remain available and monitoring can detect differential use and harm.</w:t>
      </w:r>
    </w:p>
    <w:p>
      <w:pPr>
        <w:pStyle w:val="Heading4"/>
        <w:keepNext w:val="true"/>
        <w:keepLines/>
        <w:rPr/>
      </w:pPr>
      <w:r>
        <w:t>Patient-Facing AI Assurance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10</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Governance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Institutional decisions, authority, controls, records, and responses governing consequential use.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Accountability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obligation to justify decisions and accept responsibility for consequences.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Institutional risk</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Risk to safety, rights, continuity, equity, trust, resources, and legitimacy.</w:t>
            </w:r>
            <w:bookmarkStart w:id="247" w:name="key-terms-9"/>
            <w:bookmarkEnd w:id="247"/>
          </w:p>
        </w:tc>
      </w:tr>
    </w:tbl>
    <w:p>
      <w:pPr>
        <w:pStyle w:val="Heading4"/>
        <w:keepNext w:val="true"/>
        <w:keepLines/>
        <w:rPr/>
      </w:pPr>
      <w:r>
        <w:t>Status and Appropriate Use of Selected Instruments</w:t>
      </w:r>
    </w:p>
    <w:p>
      <w:pPr>
        <w:pStyle w:val="FirstParagraph"/>
        <w:rPr/>
      </w:pPr>
      <w:r>
        <w:t>Table: Selected instruments relevant to Chapter 10</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 AI Act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Binding EU regulation in scope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Creates obligations based on role and risk classification.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EHDS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Binding EU regulation with phased implementation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Governs electronic health data use and infrastructure in scope.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ISO/IEC 42001, 23894, 42005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international standards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management systems, risk management, and impact assessment.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NIST AI RMF</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risk-management framework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Organizes Govern, Map, Measure, and Manage activities.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FUTURE-AI and FAIR-AI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Research and consensus guidance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trustworthy implementation and review; not regulatory standards.</w:t>
            </w:r>
          </w:p>
        </w:tc>
      </w:tr>
    </w:tbl>
    <w:p>
      <w:pPr>
        <w:pStyle w:val="Heading4"/>
        <w:keepNext w:val="true"/>
        <w:keepLines/>
        <w:rPr/>
      </w:pPr>
      <w:r>
        <w:t>Formula and Interpretation Note</w:t>
      </w:r>
    </w:p>
    <w:p>
      <w:pPr>
        <w:pStyle w:val="FirstParagraph"/>
        <w:rPr/>
      </w:pPr>
      <w:r>
        <w:t>The following relationship is used in Chapter 10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AIHE-CASE10 — Patient-Facing Chatbot Institutional-Risk Review</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Which uses can be permitted when convenience and call reduction coexist with privacy, safety, equity, and communication risks?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AIHE-C03 — Integrated Institutional-Risk Review</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Review ethics, equity, privacy, cybersecurity, safety, continuity, trust, legal, and economic risks as one institutional system.</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AIHE-C05 — Public Transparency and Communication Record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accurate, accessible communication about intended use, limitations, oversight, data, complaints, incidents, and alternatives.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AIHE-RG04 — Regulatory, Standards, and Policy Update Register</w:t>
            </w:r>
            <w:r>
              <w:rPr>
                <w:rFonts w:cs=""/>
                <w:kern w:val="0"/>
                <w:sz w:val="16"/>
                <w:szCs w:val="24"/>
                <w:lang w:val="en-GB" w:eastAsia="en-US" w:bidi="ar-SA"/>
              </w:rPr>
              <w:t xml:space="preserve"> Reference guide; docx; odt; xlsx; ods; csv; json;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 date-stamped records for European, Romanian, and global legal, policy, standards, reimbursement, and guidance sources whose scope or implementation status may change.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AIHE-PY07 — Feature importance and partial-dependence exploration</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Fits a tree ensemble, calculates permutation importance, and visualizes the relationship between the top feature and predicted risk.</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AIHE-PY08 — Subgroup performance and equity audit</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Compares AUC, calibration, sensitivity, specificity, predictive values, and selection rates across population groups.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AIHE-PY26 — Integrated privacy, cybersecurity, equity, safety, and trust risk register</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Scores inherent and residual risk, checks mitigation completeness, prioritizes overdue actions, and produces an accountable risk dashboard.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AIHE-AB — Privacy and Cybersecurity Risk Register</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Record privacy, security, continuity, supplier, model, and incident risks with controls, owners, and review dates.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AIHE-AC — Equity Impact Tool</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Identify affected groups, barriers, harms, mitigations, costs, residual concerns, and monitoring indicators.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 — Ethical Governance Checklist for Healthcare AI</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Translate autonomy, safety, transparency, fairness, oversight, accountability, and public value into evidence and action.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AIHE-EX13 — Public Transparency and Communication Notice</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Explain AI use, limits, human oversight, data handling, accessibility, questions, complaints, incidents, and human alternatives.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AIHE-G — Sample Health-System AI Governance Charter</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Establish a health-system governance charter covering purpose, scope, membership, evidence, decisions, monitoring, incidents, updates, and de-adoption.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AIHE-N — Trust, Equity, and Public Value Workbook</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Integrate trust-adjusted value, distributional effects, mitigation, public value, confidence, and mandatory safeguards.</w:t>
            </w:r>
          </w:p>
        </w:tc>
      </w:tr>
    </w:tbl>
    <w:p>
      <w:pPr>
        <w:pStyle w:val="Heading2"/>
        <w:keepNext w:val="true"/>
        <w:keepLines/>
        <w:pBdr>
          <w:bottom w:val="single" w:sz="8" w:space="4" w:color="B58A95"/>
        </w:pBdr>
        <w:rPr/>
      </w:pPr>
      <w:r>
        <w:t>Chapter 11: Evidence, Validation, and Real-World Evaluation</w:t>
      </w:r>
    </w:p>
    <w:p>
      <w:pPr>
        <w:pStyle w:val="Heading3"/>
        <w:keepNext w:val="true"/>
        <w:keepLines/>
        <w:rPr/>
      </w:pPr>
      <w:r>
        <w:t>Chapter Orientation</w:t>
      </w:r>
    </w:p>
    <w:p>
      <w:pPr>
        <w:pStyle w:val="FirstParagraph"/>
        <w:rPr/>
      </w:pPr>
      <w:r>
        <w:t>Chapter 11 addresses evidence maturity, appraisal, external and local validation, silent evaluation, causal evaluation, implementation research, mixed methods, and evidence synthesis. The resources distinguish model validity from the effect of using the complete intervention in practice.</w:t>
      </w:r>
    </w:p>
    <w:p>
      <w:pPr>
        <w:pStyle w:val="BodyText"/>
        <w:rPr/>
      </w:pPr>
      <w:r>
        <w:t>Use this suite to design local validation, prospective evaluation, subgroup analysis, decision-curve analysis, causal studies, and decision-ready evidence records. The connected readmission case separates predictive performance from the effect of the care-management pathway and from the resources needed to deliver it.</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Readmission-Risk Prediction: Validation and Causal Evaluation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Maturity and Appraisal; Local Validation and Silent Evaluation; Causal and Real-World Evaluation Protocol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Validation, Clinical utility, Causal evaluation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 python analytics, 2 reference guide,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254" w:name="resource-suite-at-a-glance-10"/>
            <w:bookmarkEnd w:id="254"/>
          </w:p>
        </w:tc>
      </w:tr>
    </w:tbl>
    <w:p>
      <w:pPr>
        <w:pStyle w:val="Heading3"/>
        <w:keepNext w:val="true"/>
        <w:keepLines/>
        <w:rPr/>
      </w:pPr>
      <w:r>
        <w:t>Worked Example: Readmission-Risk Prediction: Validation and Causal Evaluation</w:t>
      </w:r>
    </w:p>
    <w:p>
      <w:pPr>
        <w:pStyle w:val="Heading4"/>
        <w:keepNext w:val="true"/>
        <w:keepLines/>
        <w:rPr/>
      </w:pPr>
      <w:r>
        <w:t>Purpose and Status</w:t>
      </w:r>
    </w:p>
    <w:p>
      <w:pPr>
        <w:pStyle w:val="FirstParagraph"/>
        <w:rPr/>
      </w:pPr>
      <w:r>
        <w:t>A hospital has acquired a readmission-risk model intended to direct care-management follow-up. External validation is favourable, but the local population, documentation, social-risk information, and care-management capacity differ from the development setting.</w:t>
      </w:r>
    </w:p>
    <w:p>
      <w:pPr>
        <w:pStyle w:val="Heading4"/>
        <w:keepNext w:val="true"/>
        <w:keepLines/>
        <w:rPr/>
      </w:pPr>
      <w:r>
        <w:t>Decision Problem and Comparators</w:t>
      </w:r>
    </w:p>
    <w:p>
      <w:pPr>
        <w:pStyle w:val="FirstParagraph"/>
        <w:rPr/>
      </w:pPr>
      <w:r>
        <w:t>Decision problem. Is the exact model and intervention sufficiently valid and useful for local use, and does the targeted follow-up pathway cause better outcomes than current discharge planning?</w:t>
      </w:r>
    </w:p>
    <w:p>
      <w:pPr>
        <w:pStyle w:val="BodyText"/>
        <w:rPr/>
      </w:pPr>
      <w:r>
        <w:t>Table: Comparators for the Chapter 11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discharge planning</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Conventional risk checklist</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Model-guided follow-up with existing capacity</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Model-guided follow-up with expanded care-management capacity</w:t>
            </w:r>
            <w:bookmarkStart w:id="257" w:name="decision-problem-and-comparators-9"/>
            <w:bookmarkEnd w:id="257"/>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11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eligible discharges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18,000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Hospital activity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30-day readmission prevalence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cohort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Available care-management slots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65/week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Service capacity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sensitivity at proposed threshold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0.76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silent evaluation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Positive predictive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0.31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silent evaluation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Calibration slope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0.82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validation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follow-up effect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Relative risk 0.88</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synthesis; causal uncertainty remains</w:t>
            </w:r>
            <w:bookmarkStart w:id="258" w:name="X9aca08f1cd6616ba16836fdfb00294b8138e2cd"/>
            <w:bookmarkEnd w:id="258"/>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intended use, threshold, action, capacity, and exact system version.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data design, leakage, transportability, discrimination, calibration, threshold-specific utility, and subgroup performance.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Conduct silent evaluation before clinical dependence.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Separate model validation from causal evaluation of the follow-up intervention.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an appropriate randomized, quasi-experimental, or target-trial design to estimate service effects.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Combine technical, clinical, implementation, qualitative, economic, governance, and post-deployment evidence in a decision-ready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discrimination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Acceptable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sufficient for adoption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Calibration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Overprediction in higher-risk groups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recalibration or threshold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Weekly patients flagged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Approximately 120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Exceeds current care-management capacity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Causal effect of follow-up</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Uncertain locally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controlled evaluation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Recalibrate and conduct capacity-constrained pilot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 unrestricted implementation</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Complete recalibration and a prospective, capacity-aware evaluation of the model-plus-follow-up intervention. The model should not be judged effective merely because it predicts readmission; the evaluation must show that targeted action improves outcomes relative to realistic alternatives.</w:t>
      </w:r>
    </w:p>
    <w:p>
      <w:pPr>
        <w:pStyle w:val="Compact"/>
        <w:numPr>
          <w:ilvl w:val="0"/>
          <w:numId w:val="74"/>
        </w:numPr>
        <w:rPr/>
      </w:pPr>
      <w:r>
        <w:t>silent-mode evidence and subgroup calibration are acceptable.</w:t>
      </w:r>
    </w:p>
    <w:p>
      <w:pPr>
        <w:pStyle w:val="Compact"/>
        <w:numPr>
          <w:ilvl w:val="0"/>
          <w:numId w:val="75"/>
        </w:numPr>
        <w:rPr/>
      </w:pPr>
      <w:r>
        <w:t>the threshold fits available care-management capacity.</w:t>
      </w:r>
    </w:p>
    <w:p>
      <w:pPr>
        <w:pStyle w:val="Compact"/>
        <w:numPr>
          <w:ilvl w:val="0"/>
          <w:numId w:val="76"/>
        </w:numPr>
        <w:rPr/>
      </w:pPr>
      <w:r>
        <w:t>the causal evaluation separates model performance from intervention effect.</w:t>
      </w:r>
    </w:p>
    <w:p>
      <w:pPr>
        <w:pStyle w:val="Compact"/>
        <w:numPr>
          <w:ilvl w:val="0"/>
          <w:numId w:val="77"/>
        </w:numPr>
        <w:rPr/>
      </w:pPr>
      <w:r>
        <w:t>implementation costs and workload are measured prospectively.</w:t>
      </w:r>
    </w:p>
    <w:p>
      <w:pPr>
        <w:pStyle w:val="Compact"/>
        <w:numPr>
          <w:ilvl w:val="0"/>
          <w:numId w:val="78"/>
        </w:numPr>
        <w:rPr/>
      </w:pPr>
      <w:r>
        <w:t>the evidence record states attribution limits and conditions for continuation.</w:t>
      </w:r>
    </w:p>
    <w:p>
      <w:pPr>
        <w:pStyle w:val="Heading3"/>
        <w:keepNext w:val="true"/>
        <w:keepLines/>
        <w:rPr/>
      </w:pPr>
      <w:r>
        <w:t>Supplemental Resources</w:t>
      </w:r>
    </w:p>
    <w:p>
      <w:pPr>
        <w:pStyle w:val="FirstParagraph"/>
        <w:rPr/>
      </w:pPr>
      <w:r>
        <w:t>These supplemental resources translate the Chapter 11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11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Maturity and Appraisal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Validation and Silent Evaluation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Causal and Real-World Evaluation Protocol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Evidence Maturity and Appraisal</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Local Validation and Silent Evaluation</w:t>
      </w:r>
    </w:p>
    <w:p>
      <w:pPr>
        <w:pStyle w:val="FirstParagraph"/>
        <w:rPr/>
      </w:pPr>
      <w:r>
        <w:t>The following sequence converts findings into accountable action. The local record should name the responsible person for each activity, the completion date, the evidence of completion, and any residual uncertainty. - Define the intended use, threshold, action, capacity, and exact system version. - Assess data design, leakage, transportability, discrimination, calibration, threshold-specific utility, and subgroup performance. - Conduct silent evaluation before clinical dependence. - Separate model validation from causal evaluation of the follow-up intervention. - Use an appropriate randomized, quasi-experimental, or target-trial design to estimate service effects. - Combine technical, clinical, implementation, qualitative, economic, governance, and post-deployment evidence in a decision-ready record.</w:t>
      </w:r>
    </w:p>
    <w:p>
      <w:pPr>
        <w:pStyle w:val="Heading4"/>
        <w:keepNext w:val="true"/>
        <w:keepLines/>
        <w:rPr/>
      </w:pPr>
      <w:r>
        <w:t>Causal and Real-World Evaluation Protocol</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11</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Validation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Assessment of performance and suitability for a stated context of use.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utility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Whether use of information improves decisions or outcomes relative to alternatives.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Causal evaluation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Estimation of what would have happened under a credible counterfactual.</w:t>
            </w:r>
            <w:bookmarkStart w:id="269" w:name="key-terms-10"/>
            <w:bookmarkEnd w:id="269"/>
          </w:p>
        </w:tc>
      </w:tr>
    </w:tbl>
    <w:p>
      <w:pPr>
        <w:pStyle w:val="Heading4"/>
        <w:keepNext w:val="true"/>
        <w:keepLines/>
        <w:rPr/>
      </w:pPr>
      <w:r>
        <w:t>Status and Appropriate Use of Selected Instruments</w:t>
      </w:r>
    </w:p>
    <w:p>
      <w:pPr>
        <w:pStyle w:val="FirstParagraph"/>
        <w:rPr/>
      </w:pPr>
      <w:r>
        <w:t>Table: Selected instruments relevant to Chapter 11</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TRIPOD+AI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Prediction-model studies.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PROBAST+AI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Appraisal tool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Risk of bias and applicability for prediction-model evidence.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STARD-AI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Diagnostic-accuracy studies.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SPIRIT-AI/CONSORT-AI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Trial protocols and reports.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DECIDE-AI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Early-stage live clinical evaluation.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MRC/CFIR/RE-AIM/PRISM</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Methodological and implementation frameworks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programme theory, determinants, outcomes, context, and sustainment.</w:t>
            </w:r>
          </w:p>
        </w:tc>
      </w:tr>
    </w:tbl>
    <w:p>
      <w:pPr>
        <w:pStyle w:val="Heading4"/>
        <w:keepNext w:val="true"/>
        <w:keepLines/>
        <w:rPr/>
      </w:pPr>
      <w:r>
        <w:t>Formula and Interpretation Note</w:t>
      </w:r>
    </w:p>
    <w:p>
      <w:pPr>
        <w:pStyle w:val="FirstParagraph"/>
        <w:rPr/>
      </w:pPr>
      <w:r>
        <w:t>The following relationship is used in Chapter 11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AIHE-CASE11 — Local Validation and Causal Evaluation of a Readmission Model</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Does local performance and observed service change support adoption, and what can reasonably be attributed to the AI-enabled pathway?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AIHE-RG02 — Reporting and Appraisal Tool Selection Guide</w:t>
            </w:r>
            <w:r>
              <w:rPr>
                <w:rFonts w:cs=""/>
                <w:kern w:val="0"/>
                <w:sz w:val="16"/>
                <w:szCs w:val="24"/>
                <w:lang w:val="en-GB" w:eastAsia="en-US" w:bidi="ar-SA"/>
              </w:rPr>
              <w:t xml:space="preserve"> Reference guide; docx; odt; xlsx; ods; csv; json;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Match evidence type and study stage to current reporting and appraisal instruments without treating checklist completion as proof of validity, effectiveness, or regulatory conformity.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AIHE-RG06 — Diagnostic and Predictive Evidence Appraisal Checklist</w:t>
            </w:r>
            <w:r>
              <w:rPr>
                <w:rFonts w:cs=""/>
                <w:kern w:val="0"/>
                <w:sz w:val="16"/>
                <w:szCs w:val="24"/>
                <w:lang w:val="en-GB" w:eastAsia="en-US" w:bidi="ar-SA"/>
              </w:rPr>
              <w:t xml:space="preserve"> Reference guide; docx; odt; xlsx; ods; csv; json;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Appraise reference standards, index tests, data partitions, calibration, diagnostic accuracy, bias, subgroup performance, clinical utility, and downstream resource consequences.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AIHE-PY04 — Predictive model development: logistic regression and random forest</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Builds two baseline classifiers, compares test performance, and exports predictions for later validation modules.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AIHE-PY05 — Model performance, threshold trade-offs, and calibration</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Calculates ROC AUC, Brier score, confusion-matrix measures across thresholds, calibration intercept and slope, and calibration bins.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AIHE-PY24 — Implementation evaluation with interrupted time series and control charts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Evaluates change after an AI implementation using segmented regression, run charts, control limits, uptake, and balancing measures.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AIHE-PY30 — Random-effects meta-analysis and forest plot</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Pools study-level effects using inverse-variance fixed and DerSimonian-Laird random-effects methods, quantifies heterogeneity, and creates forest and funnel plots.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AIHE-PY31 — Difference-in-differences evaluation</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Estimates the effect of AI implementation by comparing change over time in an intervention group with change in a comparison group.</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AIHE-PY32 — Time-to-event and survival analysis</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Estimates Kaplan-Meier survival curves and compares event timing between AI and comparator groups using a log-rank test.</w:t>
            </w:r>
          </w:p>
        </w:tc>
      </w:tr>
    </w:tbl>
    <w:p>
      <w:pPr>
        <w:pStyle w:val="Heading2"/>
        <w:keepNext w:val="true"/>
        <w:keepLines/>
        <w:pBdr>
          <w:bottom w:val="single" w:sz="8" w:space="4" w:color="B58A95"/>
        </w:pBdr>
        <w:rPr/>
      </w:pPr>
      <w:r>
        <w:t>Chapter 12: Decision Architecture and Lifecycle Governance</w:t>
      </w:r>
    </w:p>
    <w:p>
      <w:pPr>
        <w:pStyle w:val="Heading3"/>
        <w:keepNext w:val="true"/>
        <w:keepLines/>
        <w:rPr/>
      </w:pPr>
      <w:r>
        <w:t>Chapter Orientation</w:t>
      </w:r>
    </w:p>
    <w:p>
      <w:pPr>
        <w:pStyle w:val="FirstParagraph"/>
        <w:rPr/>
      </w:pPr>
      <w:r>
        <w:t>Chapter 12 brings the book’s methods into one decision architecture. The resources organize AI-HEVG assessment, the AI Health Economics Dossier, post-deployment monitoring, algorithmovigilance, incidents, material change, staged implementation, renewal, de-adoption, and portfolio governance.</w:t>
      </w:r>
    </w:p>
    <w:p>
      <w:pPr>
        <w:pStyle w:val="BodyText"/>
        <w:rPr/>
      </w:pPr>
      <w:r>
        <w:t>Use this suite when evidence from several specialist analyses must be assembled into an accountable institutional decision and maintained after deployment. The records emphasize continuing responsibility, version control, decision triggers, mandatory safeguards, and a documented route to restriction, replacement, or retirement.</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Readmission-Risk Lifecycle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Integrated Assessment and AI-HED; Post-Deployment Monitoring and Incident Record; Accountable Adoption Principles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architecture, Algorithmovigilance, AI-HED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 core, 3 python analytics, 1 reference guide, 16 supplemental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275" w:name="resource-suite-at-a-glance-11"/>
            <w:bookmarkEnd w:id="275"/>
          </w:p>
        </w:tc>
      </w:tr>
    </w:tbl>
    <w:p>
      <w:pPr>
        <w:pStyle w:val="Heading3"/>
        <w:keepNext w:val="true"/>
        <w:keepLines/>
        <w:rPr/>
      </w:pPr>
      <w:r>
        <w:t>Worked Example: Readmission-Risk Lifecycle Decision</w:t>
      </w:r>
    </w:p>
    <w:p>
      <w:pPr>
        <w:pStyle w:val="Heading4"/>
        <w:keepNext w:val="true"/>
        <w:keepLines/>
        <w:rPr/>
      </w:pPr>
      <w:r>
        <w:t>Purpose and Status</w:t>
      </w:r>
    </w:p>
    <w:p>
      <w:pPr>
        <w:pStyle w:val="FirstParagraph"/>
        <w:rPr/>
      </w:pPr>
      <w:r>
        <w:t>Following local validation and a controlled pilot, the hospital must decide whether to scale the readmission-risk intervention. The evidence dossier includes model performance, care-management outcomes, cost, subgroup effects, workload, vendor updates, and unresolved uncertainty.</w:t>
      </w:r>
    </w:p>
    <w:p>
      <w:pPr>
        <w:pStyle w:val="Heading4"/>
        <w:keepNext w:val="true"/>
        <w:keepLines/>
        <w:rPr/>
      </w:pPr>
      <w:r>
        <w:t>Decision Problem and Comparators</w:t>
      </w:r>
    </w:p>
    <w:p>
      <w:pPr>
        <w:pStyle w:val="FirstParagraph"/>
        <w:rPr/>
      </w:pPr>
      <w:r>
        <w:t>Decision problem. Should the intervention scale, continue with conditions, remain restricted, be redesigned, or be de-adopted?</w:t>
      </w:r>
    </w:p>
    <w:p>
      <w:pPr>
        <w:pStyle w:val="BodyText"/>
        <w:rPr/>
      </w:pPr>
      <w:r>
        <w:t>Table: Comparators for the Chapter 12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Continue limited pilot</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Scale with current threshold and capacity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Scale with expanded care-management capacity</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Restrict to selected services or subgroups</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Return to the conventional discharge pathway</w:t>
            </w:r>
            <w:bookmarkStart w:id="278" w:name="decision-problem-and-comparators-10"/>
            <w:bookmarkEnd w:id="278"/>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12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Pilot duration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 months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AI-HED record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Readmission relative risk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0.91</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controlled evaluation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cost per discharge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94</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TCAIO record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Care-management capacity used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93%</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Operations dashboard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Subgroup with calibration concern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Patients with incomplete social-risk data</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EWAHE review</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 vendor update expected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Within 6 months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Change notice</w:t>
            </w:r>
            <w:bookmarkStart w:id="279" w:name="Xc291d00591d4a1102a81a8632f6c911951e6c30"/>
            <w:bookmarkEnd w:id="279"/>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AI-HEVG to integrate problem relevance, data readiness, clinical validity, economic value, ethics, and organizational feasibility.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AI-HED as the living decision record linking evidence, assumptions, decisions, and versions.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Apply non-compensatory safeguards before considering aggregate scores.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Assign accountable roles through HOAM and define monitoring, incidents, material change, renewal, and exit.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GATED-AI, VALIDATE-AI, and other processes only for their defined operational roles.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Reach a decision with conditions, monitoring thresholds, review dates, and stopping authority.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effect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Modest and uncertain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Direction favourable; magnitude below initial expectation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value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Conditional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Dependent on capacity expansion and avoided admissions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Equity concern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 but potentially remediable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Incomplete social-risk data affect prioritization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concern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Upcoming material update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version-specific reassessment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Continue with conditions; do not scale fully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capacity not yet sufficient</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Continue the intervention within its current scope while addressing social-risk data, care-management capacity, and the forthcoming material update. Full scale should require renewed validation and a revised economic and equity assessment.</w:t>
      </w:r>
    </w:p>
    <w:p>
      <w:pPr>
        <w:pStyle w:val="Compact"/>
        <w:numPr>
          <w:ilvl w:val="0"/>
          <w:numId w:val="79"/>
        </w:numPr>
        <w:rPr/>
      </w:pPr>
      <w:r>
        <w:t>AI-HED is updated with the exact deployed version, evidence cut-off, and decision rationale.</w:t>
      </w:r>
    </w:p>
    <w:p>
      <w:pPr>
        <w:pStyle w:val="Compact"/>
        <w:numPr>
          <w:ilvl w:val="0"/>
          <w:numId w:val="80"/>
        </w:numPr>
        <w:rPr/>
      </w:pPr>
      <w:r>
        <w:t>monitoring includes workload, outcomes, subgroup access, cost, incidents, and trust.</w:t>
      </w:r>
    </w:p>
    <w:p>
      <w:pPr>
        <w:pStyle w:val="Compact"/>
        <w:numPr>
          <w:ilvl w:val="0"/>
          <w:numId w:val="81"/>
        </w:numPr>
        <w:rPr/>
      </w:pPr>
      <w:r>
        <w:t>the material update is assessed before deployment and rollback remains available.</w:t>
      </w:r>
    </w:p>
    <w:p>
      <w:pPr>
        <w:pStyle w:val="Compact"/>
        <w:numPr>
          <w:ilvl w:val="0"/>
          <w:numId w:val="82"/>
        </w:numPr>
        <w:rPr/>
      </w:pPr>
      <w:r>
        <w:t>the accountable authority can restrict or retire use without vendor approval.</w:t>
      </w:r>
    </w:p>
    <w:p>
      <w:pPr>
        <w:pStyle w:val="Compact"/>
        <w:numPr>
          <w:ilvl w:val="0"/>
          <w:numId w:val="83"/>
        </w:numPr>
        <w:rPr/>
      </w:pPr>
      <w:r>
        <w:t>renewal is based on current evidence and realized value rather than prior investment.</w:t>
      </w:r>
    </w:p>
    <w:p>
      <w:pPr>
        <w:pStyle w:val="Heading3"/>
        <w:keepNext w:val="true"/>
        <w:keepLines/>
        <w:rPr/>
      </w:pPr>
      <w:r>
        <w:t>Supplemental Resources</w:t>
      </w:r>
    </w:p>
    <w:p>
      <w:pPr>
        <w:pStyle w:val="FirstParagraph"/>
        <w:rPr/>
      </w:pPr>
      <w:r>
        <w:t>These supplemental resources translate the Chapter 12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12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Integrated Assessment and AI-HED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Post-Deployment Monitoring and Incident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Accountable Adoption Principles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Integrated Assessment and AI-HED</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Post-Deployment Monitoring and Incident Record</w:t>
      </w:r>
    </w:p>
    <w:p>
      <w:pPr>
        <w:pStyle w:val="FirstParagraph"/>
        <w:rPr/>
      </w:pPr>
      <w:r>
        <w:t>The following sequence converts findings into accountable action. The local record should name the responsible person for each activity, the completion date, the evidence of completion, and any residual uncertainty. - Use AI-HEVG to integrate problem relevance, data readiness, clinical validity, economic value, ethics, and organizational feasibility. - Use AI-HED as the living decision record linking evidence, assumptions, decisions, and versions. - Apply non-compensatory safeguards before considering aggregate scores. - Assign accountable roles through HOAM and define monitoring, incidents, material change, renewal, and exit. - Use GATED-AI, VALIDATE-AI, and other processes only for their defined operational roles. - Reach a decision with conditions, monitoring thresholds, review dates, and stopping authority.</w:t>
      </w:r>
    </w:p>
    <w:p>
      <w:pPr>
        <w:pStyle w:val="Heading4"/>
        <w:keepNext w:val="true"/>
        <w:keepLines/>
        <w:rPr/>
      </w:pPr>
      <w:r>
        <w:t>Accountable Adoption Principles</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12</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architecture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integrated arrangement connecting evidence, economics, governance, implementation, records, and action.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Algorithmovigilance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emerging term for systematic post-deployment evaluation and monitoring of healthcare algorithms.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proposed living dossier linking the decision problem, evidence, versions, decisions, and lifecycle actions.</w:t>
            </w:r>
            <w:bookmarkStart w:id="290" w:name="key-terms-11"/>
            <w:bookmarkEnd w:id="290"/>
          </w:p>
        </w:tc>
      </w:tr>
    </w:tbl>
    <w:p>
      <w:pPr>
        <w:pStyle w:val="Heading4"/>
        <w:keepNext w:val="true"/>
        <w:keepLines/>
        <w:rPr/>
      </w:pPr>
      <w:r>
        <w:t>Status and Appropriate Use of Selected Instruments</w:t>
      </w:r>
    </w:p>
    <w:p>
      <w:pPr>
        <w:pStyle w:val="FirstParagraph"/>
        <w:rPr/>
      </w:pPr>
      <w:r>
        <w:t>Table: Selected instruments relevant to Chapter 12</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AI-HEVG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Author-developed integrated framework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Structures assessment of problem, data, evidence, economics, ethics, feasibility, and lifecycle governance.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Author-developed decision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Maintains a living versioned dossier.</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GATED-AI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Author-developed process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Structures decision gates for procurement and approval.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VALIDATE-AI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Author-developed process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Structures staged implementation.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Author-developed process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Structures governed secondary data use.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Algorithmovigilance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Emerging scholarly and operational term</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post-deployment monitoring; not a standardized regulatory concept.</w:t>
            </w:r>
          </w:p>
        </w:tc>
      </w:tr>
    </w:tbl>
    <w:p>
      <w:pPr>
        <w:pStyle w:val="Heading4"/>
        <w:keepNext w:val="true"/>
        <w:keepLines/>
        <w:rPr/>
      </w:pPr>
      <w:r>
        <w:t>Formula and Interpretation Note</w:t>
      </w:r>
    </w:p>
    <w:p>
      <w:pPr>
        <w:pStyle w:val="FirstParagraph"/>
        <w:rPr/>
      </w:pPr>
      <w:r>
        <w:t>The following relationship is used in Chapter 12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AIHE-CASE12 — Model Update, Incident Response, and Renewal Decision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Should the organization continue, restrict, roll back, replace, or retire the system after a material update and operational incident?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AIHE-D02 — Lifecycle Gates, Staged Implementation, and Dossier Status</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Control increasing commitment through problem, readiness, evidence, local validation, economics, pilot, scale, renewal, and retirement gates.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AIHE-D03 — Post-Deployment Monitoring and Algorithmovigilance Cadence</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recurring and event-triggered surveillance across technical, workflow, safety, equity, economic, and contractual domains.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AIHE-D04 — Incident Classification and Reconstruction</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Reconstruct technical, clinical, workflow, privacy, cybersecurity, equity, communication, and economic incidents consistently.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AIHE-D05 — Change-Control and Renewal Record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material changes and periodic renewal across system, data, workflow, vendor, price, law, evidence, alternatives, and exit.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AIHE-RG01 — Framework Status and Selection Guide</w:t>
            </w:r>
            <w:r>
              <w:rPr>
                <w:rFonts w:cs=""/>
                <w:kern w:val="0"/>
                <w:sz w:val="16"/>
                <w:szCs w:val="24"/>
                <w:lang w:val="en-GB" w:eastAsia="en-US" w:bidi="ar-SA"/>
              </w:rPr>
              <w:t xml:space="preserve"> Reference guide; docx; odt; xlsx; ods; csv; json;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Distinguish legal instruments, standards, guidance, reporting guidelines, appraisal tools, implementation frameworks, and author-developed decision aids; select them according to function and authority.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AIHE-PY09 — Temporal validation and drift monitoring</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Tracks discrimination, calibration error, score distribution, and feature drift across time periods.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AIHE-PY27 — Algorithmovigilance, lifecycle cadence, drift, and incident monitoring</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Monitors technical, clinical, workflow, equity, economic, and trust indicators against warning and stop thresholds over time.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AIHE-PY29 — AI-HED completeness and institutional decision-quality audit</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Checks whether a proposed AI decision dossier covers the problem, comparator, evidence, data, economics, ethics, implementation, monitoring, and exit requirements.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AIHE-AE — AI-HED Completeness and Decision-Quality Review</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Review dossier completeness, confidence, inconsistencies, mandatory safeguards, decision readiness, and remediation.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 — Applied Case and Decision Review Template</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Apply the book architecture to an institutional case and produce a defendable decision with conditions and lifecycle controls.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AIHE-EX02 — AI System Inventory and Policy Register</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 a controlled inventory of proposed and deployed AI systems, owners, versions, risk levels, and review dates.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AIHE-EX10 — Workflow Change and Training Competency Log</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role, workflow, training, competency, downtime, escalation, refresh, and adoption requirements.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AIHE-EX11 — Material Change and Renewal Review</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model, data, interface, workflow, vendor, contract, policy, performance, risk, and annual renewal changes.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AIHE-EX12 — Incident Corrective Action and Reconstruction Log</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Classify and reconstruct technical, clinical, workflow, privacy, cybersecurity, equity, and communication incidents.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AIHE-EX14 — Final Board Recommendation Pack</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Prepare a decision-ready executive recommendation, options, evidence, economics, residual risk, dissent, conditions, owners, and next review.</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AIHE-H — AI Project One-Page Decision Memo</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Summarize the decision problem, comparator, evidence, economics, risks, implementation, conditions, and decision requested.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AIHE-J — Lifecycle and Future-Proofing Toolkit</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Bundle lifecycle checklists for monitoring, version control, scenario planning, policy updates, procurement, and decommissioning.</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AIHE-K — AI-HEVG Assessment Workbook</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problem relevance, data, validity, economics, ethics, feasibility, lifecycle governance, safeguards, and final decision.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 — AI-HED Dossier Template</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 a versioned evidence, economics, governance, implementation, monitoring, update, and decision record.</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AIHE-Q — GATED-AI Gate Record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Control commitment through problem, evidence, data, economics, governance, implementation, contract, and lifecycle gates.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 — VALIDATE-AI Implementation Plan</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Manage implementation as an evidence-producing sequence from problem verification through continuous evaluation.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AIHE-S — Algorithmovigilance Dashboard, Cadence, and Incident Record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Operate daily technical checks, periodic service and economic review, incident classification, reconstruction, escalation, and annual renewal.</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AIHE-T — AI De-adoption and Decommissioning Plan</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stopping triggers, fallback, transition, data disposition, communication, contract exit, validation, and post-retirement review.</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AIHE-V — Validation Protocol for the Proposed Framework Package</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construct, content, reliability, feasibility, decision, implementation, and prospective validation for proposed frameworks.</w:t>
            </w:r>
          </w:p>
        </w:tc>
      </w:tr>
    </w:tbl>
    <w:p>
      <w:pPr>
        <w:pStyle w:val="Heading1"/>
        <w:keepNext w:val="true"/>
        <w:keepLines/>
        <w:pBdr>
          <w:bottom w:val="single" w:sz="8" w:space="4" w:color="B58A95"/>
        </w:pBdr>
        <w:rPr/>
      </w:pPr>
      <w:r>
        <w:t>Part V: Circular Economy and Sustainable Value</w:t>
      </w:r>
    </w:p>
    <w:p>
      <w:pPr>
        <w:pStyle w:val="FirstParagraph"/>
        <w:rPr/>
      </w:pPr>
      <w:r>
        <w:t>This Part applies resource stewardship, circular procurement, asset decisions, and circularity-adjusted evaluation to sustainable health-system value.</w:t>
      </w:r>
    </w:p>
    <w:p>
      <w:pPr>
        <w:pStyle w:val="Heading2"/>
        <w:keepNext w:val="true"/>
        <w:keepLines/>
        <w:pBdr>
          <w:bottom w:val="single" w:sz="8" w:space="4" w:color="B58A95"/>
        </w:pBdr>
        <w:rPr/>
      </w:pPr>
      <w:r>
        <w:t>Chapter 13: Circular Health Systems and Resource Stewardship</w:t>
      </w:r>
    </w:p>
    <w:p>
      <w:pPr>
        <w:pStyle w:val="Heading3"/>
        <w:keepNext w:val="true"/>
        <w:keepLines/>
        <w:rPr/>
      </w:pPr>
      <w:r>
        <w:t>Chapter Orientation</w:t>
      </w:r>
    </w:p>
    <w:p>
      <w:pPr>
        <w:pStyle w:val="FirstParagraph"/>
        <w:rPr/>
      </w:pPr>
      <w:r>
        <w:t>Chapter 13 extends stewardship to energy, water, computing, storage, hardware, materials, maintenance, sharing, recovery, resilience, and burden transfer. The resources apply a healthcare circularity hierarchy and distinguish lower resource intensity from lower absolute demand.</w:t>
      </w:r>
    </w:p>
    <w:p>
      <w:pPr>
        <w:pStyle w:val="BodyText"/>
        <w:rPr/>
      </w:pPr>
      <w:r>
        <w:t>Use this suite when digital or AI decisions materially affect infrastructure or supply chains. It helps identify opportunities to avoid unnecessary acquisition, optimize demand, share capacity, extend safe useful life, document resource flows, test rebound, and build institutional circular operating capability.</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Circular Stewardship of AI Compute and Clinical Infrastructure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 Hierarchy and Opportunity Register; Resource-Flow and Intensity Record; Circular Operating Capability Assessment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health system, Circularity hierarchy, Rebound effect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core, 2 python analytics, 1 supplemental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297" w:name="resource-suite-at-a-glance-12"/>
            <w:bookmarkEnd w:id="297"/>
          </w:p>
        </w:tc>
      </w:tr>
    </w:tbl>
    <w:p>
      <w:pPr>
        <w:pStyle w:val="Heading3"/>
        <w:keepNext w:val="true"/>
        <w:keepLines/>
        <w:rPr/>
      </w:pPr>
      <w:r>
        <w:t>Worked Example: Circular Stewardship of AI Compute and Clinical Infrastructure</w:t>
      </w:r>
    </w:p>
    <w:p>
      <w:pPr>
        <w:pStyle w:val="Heading4"/>
        <w:keepNext w:val="true"/>
        <w:keepLines/>
        <w:rPr/>
      </w:pPr>
      <w:r>
        <w:t>Purpose and Status</w:t>
      </w:r>
    </w:p>
    <w:p>
      <w:pPr>
        <w:pStyle w:val="FirstParagraph"/>
        <w:rPr/>
      </w:pPr>
      <w:r>
        <w:t>A health system is expanding AI-enabled imaging and analytics. Several servers are underutilized, cooling demand is increasing, equipment is approaching support milestones, and suppliers offer different maintenance, take-back, and product-information arrangements.</w:t>
      </w:r>
    </w:p>
    <w:p>
      <w:pPr>
        <w:pStyle w:val="Heading4"/>
        <w:keepNext w:val="true"/>
        <w:keepLines/>
        <w:rPr/>
      </w:pPr>
      <w:r>
        <w:t>Decision Problem and Comparators</w:t>
      </w:r>
    </w:p>
    <w:p>
      <w:pPr>
        <w:pStyle w:val="FirstParagraph"/>
        <w:rPr/>
      </w:pPr>
      <w:r>
        <w:t>Decision problem. Which combination of demand prevention, shared use, maintenance, modernization, and recovery provides the greatest safe and sustainable value?</w:t>
      </w:r>
    </w:p>
    <w:p>
      <w:pPr>
        <w:pStyle w:val="BodyText"/>
        <w:rPr/>
      </w:pPr>
      <w:r>
        <w:t>Table: Comparators for the Chapter 13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Continue current decentralized infrastructure</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Consolidate and share existing capacity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Replace with new local infrastructure</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a regional managed service</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Reduce model and data demand before adding capacity</w:t>
            </w:r>
            <w:bookmarkStart w:id="300" w:name="decision-problem-and-comparators-11"/>
            <w:bookmarkEnd w:id="300"/>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13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Average server utilization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28%</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Infrastructure monitoring</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electricity use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 GWh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Facilities data</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Water use for cooling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Site estimate unavailable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gap</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Assets within two years of support end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37%</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 register</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Suppliers offering take-back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of 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Contract review</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Potential model-efficiency reduction in compute/task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35%</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Technical benchmark</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service growth</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22% over three years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Portfolio forecast</w:t>
            </w:r>
            <w:bookmarkStart w:id="301" w:name="Xfe2d8faffde30aa2f421b818c0d59d5481b63a8"/>
            <w:bookmarkEnd w:id="301"/>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a clinically meaningful functional unit and map material, energy, water, data, and service flows.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Apply the circularity hierarchy before assuming that new acquisition is required.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prevention, reduction, maintenance, sharing, reuse, refurbishment, replacement, and recovery options.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whether AI-enabled forecasting or maintenance changes an actual resource decision.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Measure resource intensity and total demand to detect rebound.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 resilience, equity, supplier dependence, burden transfer, and final disposition.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Highest immediate opportunity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Consolidation and shared capacity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Low utilization indicates avoidable duplication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Efficiency effect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Potentially material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May be offset by service growth</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Critical evidence gap</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Cooling-water and embodied-impact data</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Prevents complete comparison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risk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 for 37% of assets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staged transition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Demand reduction plus shared-capacity and supportability programme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Delay broad replacement</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Adopt a portfolio programme that first reduces unnecessary compute and storage, consolidates safe shared capacity, maintains supported assets, and uses replacement selectively where security, reliability, or efficiency justify it. Require supplier information, take-back, and traceable disposition.</w:t>
      </w:r>
    </w:p>
    <w:p>
      <w:pPr>
        <w:pStyle w:val="Compact"/>
        <w:numPr>
          <w:ilvl w:val="0"/>
          <w:numId w:val="84"/>
        </w:numPr>
        <w:rPr/>
      </w:pPr>
      <w:r>
        <w:t>resource intensity and absolute demand are both monitored.</w:t>
      </w:r>
    </w:p>
    <w:p>
      <w:pPr>
        <w:pStyle w:val="Compact"/>
        <w:numPr>
          <w:ilvl w:val="0"/>
          <w:numId w:val="85"/>
        </w:numPr>
        <w:rPr/>
      </w:pPr>
      <w:r>
        <w:t>safety, cybersecurity, resilience, and service continuity constrain every circular option.</w:t>
      </w:r>
    </w:p>
    <w:p>
      <w:pPr>
        <w:pStyle w:val="Compact"/>
        <w:numPr>
          <w:ilvl w:val="0"/>
          <w:numId w:val="86"/>
        </w:numPr>
        <w:rPr/>
      </w:pPr>
      <w:r>
        <w:t>supplier and product data are sufficient for maintenance and recovery decisions.</w:t>
      </w:r>
    </w:p>
    <w:p>
      <w:pPr>
        <w:pStyle w:val="Compact"/>
        <w:numPr>
          <w:ilvl w:val="0"/>
          <w:numId w:val="87"/>
        </w:numPr>
        <w:rPr/>
      </w:pPr>
      <w:r>
        <w:t>benefits and burdens beyond the hospital boundary are documented.</w:t>
      </w:r>
    </w:p>
    <w:p>
      <w:pPr>
        <w:pStyle w:val="Compact"/>
        <w:numPr>
          <w:ilvl w:val="0"/>
          <w:numId w:val="88"/>
        </w:numPr>
        <w:rPr/>
      </w:pPr>
      <w:r>
        <w:t>future procurement includes durability, support, interoperability, take-back, and residual-value requirements.</w:t>
      </w:r>
    </w:p>
    <w:p>
      <w:pPr>
        <w:pStyle w:val="Heading3"/>
        <w:keepNext w:val="true"/>
        <w:keepLines/>
        <w:rPr/>
      </w:pPr>
      <w:r>
        <w:t>Supplemental Resources</w:t>
      </w:r>
    </w:p>
    <w:p>
      <w:pPr>
        <w:pStyle w:val="FirstParagraph"/>
        <w:rPr/>
      </w:pPr>
      <w:r>
        <w:t>These supplemental resources translate the Chapter 13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13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 Hierarchy and Opportunity Register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Resource-Flow and Intensity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Operating Capability Assessment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Circularity Hierarchy and Opportunity Register</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Resource-Flow and Intensity Record</w:t>
      </w:r>
    </w:p>
    <w:p>
      <w:pPr>
        <w:pStyle w:val="FirstParagraph"/>
        <w:rPr/>
      </w:pPr>
      <w:r>
        <w:t>The following sequence converts findings into accountable action. The local record should name the responsible person for each activity, the completion date, the evidence of completion, and any residual uncertainty. - Define a clinically meaningful functional unit and map material, energy, water, data, and service flows. - Apply the circularity hierarchy before assuming that new acquisition is required. - Compare prevention, reduction, maintenance, sharing, reuse, refurbishment, replacement, and recovery options. - Assess whether AI-enabled forecasting or maintenance changes an actual resource decision. - Measure resource intensity and total demand to detect rebound. - Evaluate resilience, equity, supplier dependence, burden transfer, and final disposition.</w:t>
      </w:r>
    </w:p>
    <w:p>
      <w:pPr>
        <w:pStyle w:val="Heading4"/>
        <w:keepNext w:val="true"/>
        <w:keepLines/>
        <w:rPr/>
      </w:pPr>
      <w:r>
        <w:t>Circular Operating Capability Assessment</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13</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health system</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health system that preserves health and public value while reducing unnecessary resource demand and retaining useful value.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 hierarchy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decision order prioritizing prevention and higher-value retention before recycling and disposal.</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Rebound effect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Growth in activity that offsets efficiency gains and increases total resource demand.</w:t>
            </w:r>
            <w:bookmarkStart w:id="312" w:name="key-terms-12"/>
            <w:bookmarkEnd w:id="312"/>
          </w:p>
        </w:tc>
      </w:tr>
    </w:tbl>
    <w:p>
      <w:pPr>
        <w:pStyle w:val="Heading4"/>
        <w:keepNext w:val="true"/>
        <w:keepLines/>
        <w:rPr/>
      </w:pPr>
      <w:r>
        <w:t>Status and Appropriate Use of Selected Instruments</w:t>
      </w:r>
    </w:p>
    <w:p>
      <w:pPr>
        <w:pStyle w:val="FirstParagraph"/>
        <w:rPr/>
      </w:pPr>
      <w:r>
        <w:t>Table: Selected instruments relevant to Chapter 13</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59004</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circular-economy standard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Vocabulary, principles, and implementation guidance.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59010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circular-economy standard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Guidance on value-network transition.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59020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circularity-measurement standard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Measurement and assessment of circularity performance.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59014/59040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standards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Traceability of secondary materials and product circularity information.</w:t>
            </w:r>
          </w:p>
        </w:tc>
      </w:tr>
    </w:tbl>
    <w:p>
      <w:pPr>
        <w:pStyle w:val="Heading4"/>
        <w:keepNext w:val="true"/>
        <w:keepLines/>
        <w:rPr/>
      </w:pPr>
      <w:r>
        <w:t>Formula and Interpretation Note</w:t>
      </w:r>
    </w:p>
    <w:p>
      <w:pPr>
        <w:pStyle w:val="FirstParagraph"/>
        <w:rPr/>
      </w:pPr>
      <w:r>
        <w:t>The following relationship is used in Chapter 13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AIHE-CASE13 — Circular AI Infrastructure Strategy</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Can the health system meet its analytic need through avoidance, optimization, sharing, and life extension before acquiring new infrastructure?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AIHE-E01 — Circular-Economy and Sustainable-AI Assessment</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Apply the circularity hierarchy from prevention and reduction through sharing, maintenance, reuse, refurbishment, recovery, and disposal.</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AIHE-PY36 — Environmental, material-flow, and lifecycle resource accounting</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Quantifies lifecycle cost, energy, water, carbon, cost per useful output, and circularity indicators for AI-related assets and services.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AIHE-PY39 — Annual circularity portfolio review and trend monitoring</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Provides a reproducible synthetic example for annual circularity portfolio review and trend monitoring.</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AIHE-CE1 — Circular Economy and Sustainable AI Assessment</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service need, the circularity hierarchy, resource demand, rebound, resilience, equity, evidence, and lifecycle review across AI-enabled health services.</w:t>
            </w:r>
          </w:p>
        </w:tc>
      </w:tr>
    </w:tbl>
    <w:p>
      <w:pPr>
        <w:pStyle w:val="Heading2"/>
        <w:keepNext w:val="true"/>
        <w:keepLines/>
        <w:pBdr>
          <w:bottom w:val="single" w:sz="8" w:space="4" w:color="B58A95"/>
        </w:pBdr>
        <w:rPr/>
      </w:pPr>
      <w:r>
        <w:t>Chapter 14: Circular Procurement and Asset Stewardship</w:t>
      </w:r>
    </w:p>
    <w:p>
      <w:pPr>
        <w:pStyle w:val="Heading3"/>
        <w:keepNext w:val="true"/>
        <w:keepLines/>
        <w:rPr/>
      </w:pPr>
      <w:r>
        <w:t>Chapter Orientation</w:t>
      </w:r>
    </w:p>
    <w:p>
      <w:pPr>
        <w:pStyle w:val="FirstParagraph"/>
        <w:rPr/>
      </w:pPr>
      <w:r>
        <w:t>Chapter 14 translates circular principles into procurement and asset decisions. The resources compare maintain, repair, refurbish, remanufacture, replace, share, recover, and decommission options while preserving safety, supportability, cybersecurity, availability, data closure, and continuity.</w:t>
      </w:r>
    </w:p>
    <w:p>
      <w:pPr>
        <w:pStyle w:val="BodyText"/>
        <w:rPr/>
      </w:pPr>
      <w:r>
        <w:t>Use this suite for equipment and platform refresh decisions, contract specifications, maintenance planning, residual-value assessment, and controlled retirement. The imaging-platform case demonstrates why useful-life extension is a conditional option rather than an objective in itself.</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Imaging Platform Refresh: Maintain, Refurbish, Replace, or Share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 Option Appraisal; Maintenance and Supportability Record; Decommissioning and Disposition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 stewardship, Refurbishment, Responsible decommissioning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core, 1 python analytics, 2 supplemental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319" w:name="resource-suite-at-a-glance-13"/>
            <w:bookmarkEnd w:id="319"/>
          </w:p>
        </w:tc>
      </w:tr>
    </w:tbl>
    <w:p>
      <w:pPr>
        <w:pStyle w:val="Heading3"/>
        <w:keepNext w:val="true"/>
        <w:keepLines/>
        <w:rPr/>
      </w:pPr>
      <w:r>
        <w:t>Worked Example: Imaging Platform Refresh: Maintain, Refurbish, Replace, or Share</w:t>
      </w:r>
    </w:p>
    <w:p>
      <w:pPr>
        <w:pStyle w:val="Heading4"/>
        <w:keepNext w:val="true"/>
        <w:keepLines/>
        <w:rPr/>
      </w:pPr>
      <w:r>
        <w:t>Purpose and Status</w:t>
      </w:r>
    </w:p>
    <w:p>
      <w:pPr>
        <w:pStyle w:val="FirstParagraph"/>
        <w:rPr/>
      </w:pPr>
      <w:r>
        <w:t>A hospital imaging platform depends on ageing local servers, proprietary interfaces, and a supported but approaching end-of-life software stack. The hospital must compare continued maintenance, modular refurbishment, full replacement, and a shared managed service.</w:t>
      </w:r>
    </w:p>
    <w:p>
      <w:pPr>
        <w:pStyle w:val="Heading4"/>
        <w:keepNext w:val="true"/>
        <w:keepLines/>
        <w:rPr/>
      </w:pPr>
      <w:r>
        <w:t>Decision Problem and Comparators</w:t>
      </w:r>
    </w:p>
    <w:p>
      <w:pPr>
        <w:pStyle w:val="FirstParagraph"/>
        <w:rPr/>
      </w:pPr>
      <w:r>
        <w:t>Decision problem. Which asset strategy preserves safe service, value, resilience, and exit capability over the next five years?</w:t>
      </w:r>
    </w:p>
    <w:p>
      <w:pPr>
        <w:pStyle w:val="BodyText"/>
        <w:rPr/>
      </w:pPr>
      <w:r>
        <w:t>Table: Comparators for the Chapter 14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 current platform for a limited period</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Modular refurbishment and software modernization</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Full local replacement</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Regional shared managed service</w:t>
            </w:r>
            <w:bookmarkStart w:id="322" w:name="decision-problem-and-comparators-12"/>
            <w:bookmarkEnd w:id="322"/>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14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asset age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 years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 register</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Remaining vendor support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24 months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contract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Unplanned downtime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38 hours/year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Service records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maintain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2.4 million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Option model</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refurbish</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3.1 million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Option model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replace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4.6 million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Option model</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shared service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3.8 million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Option model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Estimated recoverable residual value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280,000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Market and take-back estimate</w:t>
            </w:r>
            <w:bookmarkStart w:id="323" w:name="X7c644c575f40e8ed0c2ecc3f672c4eaf9799338"/>
            <w:bookmarkEnd w:id="323"/>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functional service requirements and non-negotiable safety, support, cybersecurity, and continuity conditions.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lifecycle cost and equivalent annual cost only among eligible options.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compatibility, validation burden, downtime, maintainability, software support, energy, residual value, and exit.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Examine reuse, refurbishment, transfer, take-back, secure erasure, and chain of custody.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Test downside scenarios for failure, vendor exit, delayed migration, and demand growth.</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the transition, data closure, receiving party, final destination, and organizational learning.</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 option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Lowest apparent cost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Fails supportability beyond 24 months without a transition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Refurbish option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Strong short-term value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Depends on software and security support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Replace option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Highest initial cost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Best control but substantial embodied resource and transition burden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Shared-service option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Moderate cost and resilience potential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 dependency, and exit terms are decision critical</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strategy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Modular refurbishment with prepared shared-service option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Preserves flexibility</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Undertake modular refurbishment to preserve safe useful life while preparing a contractually robust shared-service option. Do not extend the current platform beyond supported and validated operation. Use recovery value and take-back only where chain of custody and final disposition are verified.</w:t>
      </w:r>
    </w:p>
    <w:p>
      <w:pPr>
        <w:pStyle w:val="Compact"/>
        <w:numPr>
          <w:ilvl w:val="0"/>
          <w:numId w:val="89"/>
        </w:numPr>
        <w:rPr/>
      </w:pPr>
      <w:r>
        <w:t>support, cybersecurity, and validation remain acceptable throughout the planned period.</w:t>
      </w:r>
    </w:p>
    <w:p>
      <w:pPr>
        <w:pStyle w:val="Compact"/>
        <w:numPr>
          <w:ilvl w:val="0"/>
          <w:numId w:val="90"/>
        </w:numPr>
        <w:rPr/>
      </w:pPr>
      <w:r>
        <w:t>equivalent annual cost uses a common boundary and realistic residual value.</w:t>
      </w:r>
    </w:p>
    <w:p>
      <w:pPr>
        <w:pStyle w:val="Compact"/>
        <w:numPr>
          <w:ilvl w:val="0"/>
          <w:numId w:val="91"/>
        </w:numPr>
        <w:rPr/>
      </w:pPr>
      <w:r>
        <w:t>data migration, secure erasure, and fallback are tested before transition.</w:t>
      </w:r>
    </w:p>
    <w:p>
      <w:pPr>
        <w:pStyle w:val="Compact"/>
        <w:numPr>
          <w:ilvl w:val="0"/>
          <w:numId w:val="92"/>
        </w:numPr>
        <w:rPr/>
      </w:pPr>
      <w:r>
        <w:t>spare parts, documentation, and specialist capability are available.</w:t>
      </w:r>
    </w:p>
    <w:p>
      <w:pPr>
        <w:pStyle w:val="Compact"/>
        <w:numPr>
          <w:ilvl w:val="0"/>
          <w:numId w:val="93"/>
        </w:numPr>
        <w:rPr/>
      </w:pPr>
      <w:r>
        <w:t>renewal and replacement decisions are reviewed before the support deadline.</w:t>
      </w:r>
    </w:p>
    <w:p>
      <w:pPr>
        <w:pStyle w:val="Heading3"/>
        <w:keepNext w:val="true"/>
        <w:keepLines/>
        <w:rPr/>
      </w:pPr>
      <w:r>
        <w:t>Supplemental Resources</w:t>
      </w:r>
    </w:p>
    <w:p>
      <w:pPr>
        <w:pStyle w:val="FirstParagraph"/>
        <w:rPr/>
      </w:pPr>
      <w:r>
        <w:t>These supplemental resources translate the Chapter 14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14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 Option Appraisal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Maintenance and Supportability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Decommissioning and Disposition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Asset Option Appraisal</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Maintenance and Supportability Record</w:t>
      </w:r>
    </w:p>
    <w:p>
      <w:pPr>
        <w:pStyle w:val="FirstParagraph"/>
        <w:rPr/>
      </w:pPr>
      <w:r>
        <w:t>The following sequence converts findings into accountable action. The local record should name the responsible person for each activity, the completion date, the evidence of completion, and any residual uncertainty. - Define functional service requirements and non-negotiable safety, support, cybersecurity, and continuity conditions. - Compare lifecycle cost and equivalent annual cost only among eligible options. - Assess compatibility, validation burden, downtime, maintainability, software support, energy, residual value, and exit. - Examine reuse, refurbishment, transfer, take-back, secure erasure, and chain of custody. - Test downside scenarios for failure, vendor exit, delayed migration, and demand growth. - Document the transition, data closure, receiving party, final destination, and organizational learning.</w:t>
      </w:r>
    </w:p>
    <w:p>
      <w:pPr>
        <w:pStyle w:val="Heading4"/>
        <w:keepNext w:val="true"/>
        <w:keepLines/>
        <w:rPr/>
      </w:pPr>
      <w:r>
        <w:t>Decommissioning and Disposition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14</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 stewardship</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Responsible management of performance, support, useful life, value, risk, and disposition.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Refurbishment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Restoration to a specified condition through controlled inspection, repair, replacement, testing, and documentation.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Responsible decommissioning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Controlled service transition, data closure, recovery, transfer, and final disposition.</w:t>
            </w:r>
            <w:bookmarkStart w:id="334" w:name="key-terms-13"/>
            <w:bookmarkEnd w:id="334"/>
          </w:p>
        </w:tc>
      </w:tr>
    </w:tbl>
    <w:p>
      <w:pPr>
        <w:pStyle w:val="Heading4"/>
        <w:keepNext w:val="true"/>
        <w:keepLines/>
        <w:rPr/>
      </w:pPr>
      <w:r>
        <w:t>Status and Appropriate Use of Selected Instruments</w:t>
      </w:r>
    </w:p>
    <w:p>
      <w:pPr>
        <w:pStyle w:val="FirstParagraph"/>
        <w:rPr/>
      </w:pPr>
      <w:r>
        <w:t>Table: Selected instruments relevant to Chapter 14</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55001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asset-management standard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Management system for value, performance, risk, expenditure, and lifecycle control.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Ecodesign for Sustainable Products Regulation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Binding EU regulation in scope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Framework for ecodesign and product-information requirements.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Global E-waste Monitor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International evidence resource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Documents e-waste generation, formal collection, and recovery.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procurement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Procurement approach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Embeds durability, support, repair, recovery, and exit in specifications and contracts.</w:t>
            </w:r>
          </w:p>
        </w:tc>
      </w:tr>
    </w:tbl>
    <w:p>
      <w:pPr>
        <w:pStyle w:val="Heading4"/>
        <w:keepNext w:val="true"/>
        <w:keepLines/>
        <w:rPr/>
      </w:pPr>
      <w:r>
        <w:t>Formula and Interpretation Note</w:t>
      </w:r>
    </w:p>
    <w:p>
      <w:pPr>
        <w:pStyle w:val="FirstParagraph"/>
        <w:rPr/>
      </w:pPr>
      <w:r>
        <w:t>The following relationship is used in Chapter 14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AIHE-CASE14 — Imaging Platform: Maintain, Refurbish, Replace, or Share</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Which asset-life strategy preserves safe service value while controlling lifecycle cost, downtime, material demand, and dependency?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AIHE-E02 — Circular Procurement and Supplier Scorecard</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 durability, modularity, repairability, interoperability, resource information, take-back, pricing, residual value, and exit.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AIHE-E03 — Asset-Life Decision Record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maintain, refurbish, replace, and shared-service options across suitability, life, cost, resources, resilience, and disposition.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AIHE-PY37 — Circular asset-life option analysis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Ranks circular asset and service options using discounted cost, carbon, downtime, circularity, safety, and non-compensatory safeguards.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AIHE-CE2 — Circular Procurement and Supplier Scorecard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 lifecycle specifications, durability, modularity, repairability, service support, product circularity data, take-back, residual value, and responsible end of life.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AIHE-CE3 — Circular Asset-Life Decision Workbook</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maintain, repair, upgrade, share, refurbish, remanufacture, replace, and service-model options using safety, cost, life, validation, resilience, and residual value.</w:t>
            </w:r>
          </w:p>
        </w:tc>
      </w:tr>
    </w:tbl>
    <w:p>
      <w:pPr>
        <w:pStyle w:val="Heading2"/>
        <w:keepNext w:val="true"/>
        <w:keepLines/>
        <w:pBdr>
          <w:bottom w:val="single" w:sz="8" w:space="4" w:color="B58A95"/>
        </w:pBdr>
        <w:rPr/>
      </w:pPr>
      <w:r>
        <w:t>Chapter 15: Circularity-Adjusted Evaluation and Sustainable Value</w:t>
      </w:r>
    </w:p>
    <w:p>
      <w:pPr>
        <w:pStyle w:val="Heading3"/>
        <w:keepNext w:val="true"/>
        <w:keepLines/>
        <w:rPr/>
      </w:pPr>
      <w:r>
        <w:t>Chapter Orientation</w:t>
      </w:r>
    </w:p>
    <w:p>
      <w:pPr>
        <w:pStyle w:val="FirstParagraph"/>
        <w:rPr/>
      </w:pPr>
      <w:r>
        <w:t>Chapter 15 extends conventional economic evaluation through explicit environmental, material, residual-value, resilience, distributional, and rebound evidence. The resources preserve conventional results while showing where physical indicators, monetized adjustments, and multi-criteria deliberation should remain separate.</w:t>
      </w:r>
    </w:p>
    <w:p>
      <w:pPr>
        <w:pStyle w:val="BodyText"/>
        <w:rPr/>
      </w:pPr>
      <w:r>
        <w:t>Use this suite when architecture, infrastructure, or asset options differ materially in energy, water, hardware, recovery, resilience, or burden distribution. The edge-local-cloud case demonstrates how the preferred decision can change when system boundaries and functional units are made explicit.</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Edge, Local, or Cloud Diagnostic 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Circularity-Adjusted Evaluation Protocol; Environmental and Material Evidence Record; Multi-Criteria Deliberation and Safeguards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Functional unit, Circularity-adjusted value, Sustainable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core, 1 python analytics, 4 supplemental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340" w:name="resource-suite-at-a-glance-14"/>
            <w:bookmarkEnd w:id="340"/>
          </w:p>
        </w:tc>
      </w:tr>
    </w:tbl>
    <w:p>
      <w:pPr>
        <w:pStyle w:val="Heading3"/>
        <w:keepNext w:val="true"/>
        <w:keepLines/>
        <w:rPr/>
      </w:pPr>
      <w:r>
        <w:t>Worked Example: Edge, Local, or Cloud Diagnostic AI</w:t>
      </w:r>
    </w:p>
    <w:p>
      <w:pPr>
        <w:pStyle w:val="Heading4"/>
        <w:keepNext w:val="true"/>
        <w:keepLines/>
        <w:rPr/>
      </w:pPr>
      <w:r>
        <w:t>Purpose and Status</w:t>
      </w:r>
    </w:p>
    <w:p>
      <w:pPr>
        <w:pStyle w:val="FirstParagraph"/>
        <w:rPr/>
      </w:pPr>
      <w:r>
        <w:t>A diagnostic service is comparing three deployment architectures: upgrade existing edge infrastructure, replace it with efficient local infrastructure, or use a shared cloud service. Clinical performance is assumed equivalent, but lifecycle cost, energy, water, hardware, data transfer, resilience, residual value, and exit differ.</w:t>
      </w:r>
    </w:p>
    <w:p>
      <w:pPr>
        <w:pStyle w:val="Heading4"/>
        <w:keepNext w:val="true"/>
        <w:keepLines/>
        <w:rPr/>
      </w:pPr>
      <w:r>
        <w:t>Decision Problem and Comparators</w:t>
      </w:r>
    </w:p>
    <w:p>
      <w:pPr>
        <w:pStyle w:val="FirstParagraph"/>
        <w:rPr/>
      </w:pPr>
      <w:r>
        <w:t>Decision problem. Which architecture offers the strongest sustainable value after conventional and circularity-related effects are considered?</w:t>
      </w:r>
    </w:p>
    <w:p>
      <w:pPr>
        <w:pStyle w:val="BodyText"/>
        <w:rPr/>
      </w:pPr>
      <w:r>
        <w:t>Table: Comparators for the Chapter 15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Upgrade existing edge servers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Replace with new local infrastructure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Shared cloud service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Reduce model size and data retention before selecting architecture</w:t>
            </w:r>
            <w:bookmarkStart w:id="343" w:name="decision-problem-and-comparators-13"/>
            <w:bookmarkEnd w:id="343"/>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15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validated analyses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1,200,000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Functional-unit denominator</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edge upgrade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3.2 million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model</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local replacement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4.1 million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model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cloud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3.7 million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model</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energy per 1,000 analyses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Edge 42; local 27; cloud allocation 19 kWh</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Illustrative inputs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hardware residual value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Edge EUR 70,000; local EUR 240,000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Recovery estimate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Maximum tolerable service interruption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30 minutes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continuity requirement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demand growth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Scenario assumption</w:t>
            </w:r>
            <w:bookmarkStart w:id="344" w:name="Xc5db6589bf1029ddf20bd6bca6ecff5836ac955"/>
            <w:bookmarkEnd w:id="344"/>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functional unit, perspective, system boundary, horizon, and comparators.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Combine lifecycle costing with physical energy, water, material, residual-value, and resilience evidence.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 impacts separately where monetization is not credible.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 resource intensity and absolute demand, including rebound under growth scenarios.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circularity-adjusted net benefit only with consistent valuation, no double counting, and explicit limitations.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Apply multi-criteria deliberation after mandatory safety, privacy, cybersecurity, continuity, and equity safeguards are met.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Lowest operational energy intensity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Cloud under the stated allocation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Allocation and location uncertainty are material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Lowest five-year PV cost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Edge upgrade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and resilience limits may offset cost advantage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Best local control and residual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replacement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Higher initial and embodied resource burden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Strongest scalability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Cloud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dependence, data transfer, and exit require controls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Optimize demand, then use a hybrid local/shared architecture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Robust across uncertainty</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Reduce model and data demand first, retain local capacity for time-critical and continuity-sensitive functions, and use shared infrastructure where allocation, security, location, portability, and exit evidence are acceptable. Report monetary and physical outcomes separately and revisit the architecture as demand and technology change.</w:t>
      </w:r>
    </w:p>
    <w:p>
      <w:pPr>
        <w:pStyle w:val="Compact"/>
        <w:numPr>
          <w:ilvl w:val="0"/>
          <w:numId w:val="94"/>
        </w:numPr>
        <w:rPr/>
      </w:pPr>
      <w:r>
        <w:t>clinical effectiveness is comparable across architectures.</w:t>
      </w:r>
    </w:p>
    <w:p>
      <w:pPr>
        <w:pStyle w:val="Compact"/>
        <w:numPr>
          <w:ilvl w:val="0"/>
          <w:numId w:val="95"/>
        </w:numPr>
        <w:rPr/>
      </w:pPr>
      <w:r>
        <w:t>the functional unit and allocation rules are documented.</w:t>
      </w:r>
    </w:p>
    <w:p>
      <w:pPr>
        <w:pStyle w:val="Compact"/>
        <w:numPr>
          <w:ilvl w:val="0"/>
          <w:numId w:val="96"/>
        </w:numPr>
        <w:rPr/>
      </w:pPr>
      <w:r>
        <w:t>absolute demand and rebound are monitored, not only efficiency per task.</w:t>
      </w:r>
    </w:p>
    <w:p>
      <w:pPr>
        <w:pStyle w:val="Compact"/>
        <w:numPr>
          <w:ilvl w:val="0"/>
          <w:numId w:val="97"/>
        </w:numPr>
        <w:rPr/>
      </w:pPr>
      <w:r>
        <w:t>resilience, privacy, cybersecurity, and exit are non-compensatory.</w:t>
      </w:r>
    </w:p>
    <w:p>
      <w:pPr>
        <w:pStyle w:val="Compact"/>
        <w:numPr>
          <w:ilvl w:val="0"/>
          <w:numId w:val="98"/>
        </w:numPr>
        <w:rPr/>
      </w:pPr>
      <w:r>
        <w:t>the decision record reports which effects are monetized, disaggregated, or considered through deliberation.</w:t>
      </w:r>
    </w:p>
    <w:p>
      <w:pPr>
        <w:pStyle w:val="Heading3"/>
        <w:keepNext w:val="true"/>
        <w:keepLines/>
        <w:rPr/>
      </w:pPr>
      <w:r>
        <w:t>Supplemental Resources</w:t>
      </w:r>
    </w:p>
    <w:p>
      <w:pPr>
        <w:pStyle w:val="FirstParagraph"/>
        <w:rPr/>
      </w:pPr>
      <w:r>
        <w:t>These supplemental resources translate the Chapter 15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15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Circularity-Adjusted Evaluation Protocol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Environmental and Material Evidence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Multi-Criteria Deliberation and Safeguards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Circularity-Adjusted Evaluation Protocol</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Environmental and Material Evidence Record</w:t>
      </w:r>
    </w:p>
    <w:p>
      <w:pPr>
        <w:pStyle w:val="FirstParagraph"/>
        <w:rPr/>
      </w:pPr>
      <w:r>
        <w:t>The following sequence converts findings into accountable action. The local record should name the responsible person for each activity, the completion date, the evidence of completion, and any residual uncertainty. - Define the functional unit, perspective, system boundary, horizon, and comparators. - Combine lifecycle costing with physical energy, water, material, residual-value, and resilience evidence. - Report impacts separately where monetization is not credible. - Estimate resource intensity and absolute demand, including rebound under growth scenarios. - Use circularity-adjusted net benefit only with consistent valuation, no double counting, and explicit limitations. - Apply multi-criteria deliberation after mandatory safety, privacy, cybersecurity, continuity, and equity safeguards are met.</w:t>
      </w:r>
    </w:p>
    <w:p>
      <w:pPr>
        <w:pStyle w:val="Heading4"/>
        <w:keepNext w:val="true"/>
        <w:keepLines/>
        <w:rPr/>
      </w:pPr>
      <w:r>
        <w:t>Multi-Criteria Deliberation and Safeguards</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15</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Functional unit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defined service output to which costs and environmental or material effects are related.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Circularity-adjusted value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Conventional economic value extended by explicit circularity, residual-value, resilience, and environmental evidence.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Sustainable value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Long-term health-system value incorporating affordability, resilience, equity, environmental effects, and public purpose.</w:t>
            </w:r>
            <w:bookmarkStart w:id="355" w:name="key-terms-14"/>
            <w:bookmarkEnd w:id="355"/>
          </w:p>
        </w:tc>
      </w:tr>
    </w:tbl>
    <w:p>
      <w:pPr>
        <w:pStyle w:val="Heading4"/>
        <w:keepNext w:val="true"/>
        <w:keepLines/>
        <w:rPr/>
      </w:pPr>
      <w:r>
        <w:t>Status and Appropriate Use of Selected Instruments</w:t>
      </w:r>
    </w:p>
    <w:p>
      <w:pPr>
        <w:pStyle w:val="FirstParagraph"/>
        <w:rPr/>
      </w:pPr>
      <w:r>
        <w:t>Table: Selected instruments relevant to Chapter 15</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assessment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Environmental method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Quantifies environmental impacts across a defined life cycle.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Material-flow analysis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Physical accounting method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Tracks material stocks and flows.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method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Estimates costs across acquisition, use, transition, and exit.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59020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Circularity-measurement standard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defined boundaries, indicators, data, and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Multi-criteria decision analysis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method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Structures deliberation when effects cannot be credibly monetized.</w:t>
            </w:r>
          </w:p>
        </w:tc>
      </w:tr>
    </w:tbl>
    <w:p>
      <w:pPr>
        <w:pStyle w:val="Heading4"/>
        <w:keepNext w:val="true"/>
        <w:keepLines/>
        <w:rPr/>
      </w:pPr>
      <w:r>
        <w:t>Formula and Interpretation Note</w:t>
      </w:r>
    </w:p>
    <w:p>
      <w:pPr>
        <w:pStyle w:val="FirstParagraph"/>
        <w:rPr/>
      </w:pPr>
      <w:r>
        <w:t>The following relationship is used in Chapter 15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AIHE-CASE15 — Edge, Cloud, or Shared Diagnostic AI: Circularity-Adjusted Evaluation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How does the preferred option change when conventional economic value is considered with environmental effects, residual value, resilience, equity, and rebound?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AIHE-E04 — Circularity-Adjusted Evaluation Record</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Extend conventional economic evaluation with environmental, material, residual-value, resilience, equity, rebound, and burden evidence.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AIHE-E05 — Environmental, Circularity, and Disposition Dashboard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 acquisition, utilization, asset life, resource intensity, materials, take-back, recovery, rebound, resilience, and disposition.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AIHE-PY38 — Circularity-adjusted economic evaluation and sustainable value</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Provides a reproducible synthetic example for circularity-adjusted economic evaluation and sustainable value.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AIHE-CE4 — Environmental Footprint and Circularity Dashboard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 absolute and per-functional-unit energy, water, carbon, materials, utilization, repair, life extension, recovery, rebound, resilience, and distributional effects.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AIHE-CE5 — Circular Decommissioning and Asset Disposition Record</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continuity, secure erasure, chain of custody, recipient due diligence, reuse, refurbishment, recovery, residual value, communication, and closure.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AIHE-CE6 — Circularity-Adjusted Evaluation Record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Specify a common functional unit and boundary; integrate clinical, lifecycle-cost, environmental, residual-value, resilience, equity, rebound, and uncertainty evidence without arbitrary monetization or double counting.</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AIHE-CE7 — Annual Circularity Review</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Conduct a portfolio-level annual review of resource flows, asset-life extension, environmental trends, supplier performance, recovery, rebound, incidents, capability gaps, and next-year decisions.</w:t>
            </w:r>
          </w:p>
        </w:tc>
      </w:tr>
    </w:tbl>
    <w:p>
      <w:pPr>
        <w:pStyle w:val="Heading1"/>
        <w:keepNext w:val="true"/>
        <w:keepLines/>
        <w:pBdr>
          <w:bottom w:val="single" w:sz="8" w:space="4" w:color="B58A95"/>
        </w:pBdr>
        <w:rPr/>
      </w:pPr>
      <w:r>
        <w:t>Cross-Chapter Resources</w:t>
      </w:r>
    </w:p>
    <w:p>
      <w:pPr>
        <w:pStyle w:val="FirstParagraph"/>
        <w:rPr/>
      </w:pPr>
      <w:r>
        <w:t>The resources below apply across several chapters or support case analysis, methodological application, and publication maintenance. They should be used selectively and kept separate from the core institutional decision record unless they directly inform the decision.</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436"/>
        <w:gridCol w:w="2436"/>
        <w:gridCol w:w="2437"/>
        <w:gridCol w:w="2436"/>
      </w:tblGrid>
      <w:tr>
        <w:trPr>
          <w:tblHeader w:val="true"/>
        </w:trPr>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Tier</w:t>
            </w:r>
          </w:p>
        </w:tc>
        <w:tc>
          <w:tcPr>
            <w:tcW w:w="2437"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Formats</w:t>
            </w:r>
          </w:p>
        </w:tc>
      </w:tr>
      <w:tr>
        <w:trPr/>
        <w:tc>
          <w:tcPr>
            <w:tcW w:w="2436"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AIHE-CASE00 — Common Case-Analysis Method</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Case-analysis method</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 a consistent problem-first, evidence, economic, governance, and lifecycle method for analysing worked and local cases.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md; docx; odt; xlsx; ods; csv; json</w:t>
            </w:r>
          </w:p>
        </w:tc>
      </w:tr>
    </w:tbl>
    <w:p>
      <w:pPr>
        <w:pStyle w:val="Heading1"/>
        <w:keepNext w:val="true"/>
        <w:keepLines/>
        <w:pBdr>
          <w:bottom w:val="single" w:sz="8" w:space="4" w:color="B58A95"/>
        </w:pBdr>
        <w:rPr/>
      </w:pPr>
      <w:r>
        <w:t>Repository Workflow for Institutional Projects</w:t>
      </w:r>
    </w:p>
    <w:p>
      <w:pPr>
        <w:pStyle w:val="Heading2"/>
        <w:keepNext w:val="true"/>
        <w:keepLines/>
        <w:pBdr>
          <w:bottom w:val="single" w:sz="8" w:space="4" w:color="B58A95"/>
        </w:pBdr>
        <w:rPr/>
      </w:pPr>
      <w:r>
        <w:t>Suggested Project Folder</w:t>
      </w:r>
    </w:p>
    <w:p>
      <w:pPr>
        <w:pStyle w:val="SourceCode"/>
        <w:rPr/>
      </w:pPr>
      <w:r>
        <w:t>project-name/</w:t>
        <w:br/>
        <w:t>├── 00_source_release/          # Unmodified companion files and citation record</w:t>
        <w:br/>
        <w:t>├── 01_decision_specification/  # Problem, comparator, intended use, owners</w:t>
        <w:br/>
        <w:t>├── 02_evidence/                # External and local evidence, appraisal, versions</w:t>
        <w:br/>
        <w:t>├── 03_analysis/                # Costing, models, notebooks, tests, outputs</w:t>
        <w:br/>
        <w:t>├── 04_governance/              # Safeguards, approvals, risk, contracts</w:t>
        <w:br/>
        <w:t>├── 05_implementation/          # Training, workflow, pilot, monitoring</w:t>
        <w:br/>
        <w:t>├── 06_decisions/               # Signed decisions, conditions, dissent, review dates</w:t>
        <w:br/>
        <w:t>└── 07_closure/                 # Transition, data closure, decommissioning, lessons</w:t>
      </w:r>
    </w:p>
    <w:p>
      <w:pPr>
        <w:pStyle w:val="Heading2"/>
        <w:keepNext w:val="true"/>
        <w:keepLines/>
        <w:pBdr>
          <w:bottom w:val="single" w:sz="8" w:space="4" w:color="B58A95"/>
        </w:pBdr>
        <w:rPr/>
      </w:pPr>
      <w:r>
        <w:t>Control Principles</w:t>
      </w:r>
    </w:p>
    <w:p>
      <w:pPr>
        <w:pStyle w:val="Compact"/>
        <w:numPr>
          <w:ilvl w:val="0"/>
          <w:numId w:val="99"/>
        </w:numPr>
        <w:rPr/>
      </w:pPr>
      <w:r>
        <w:t>Keep the published release unchanged and work from a controlled copy.</w:t>
      </w:r>
    </w:p>
    <w:p>
      <w:pPr>
        <w:pStyle w:val="Compact"/>
        <w:numPr>
          <w:ilvl w:val="0"/>
          <w:numId w:val="100"/>
        </w:numPr>
        <w:rPr/>
      </w:pPr>
      <w:r>
        <w:t>Use one accountable document owner and named owners for specialist analyses.</w:t>
      </w:r>
    </w:p>
    <w:p>
      <w:pPr>
        <w:pStyle w:val="Compact"/>
        <w:numPr>
          <w:ilvl w:val="0"/>
          <w:numId w:val="101"/>
        </w:numPr>
        <w:rPr/>
      </w:pPr>
      <w:r>
        <w:t>Link each calculation and statement to a source, date, and version.</w:t>
      </w:r>
    </w:p>
    <w:p>
      <w:pPr>
        <w:pStyle w:val="Compact"/>
        <w:numPr>
          <w:ilvl w:val="0"/>
          <w:numId w:val="102"/>
        </w:numPr>
        <w:rPr/>
      </w:pPr>
      <w:r>
        <w:t>Archive static outputs from interactive notebooks and dashboards when they inform a decision.</w:t>
      </w:r>
    </w:p>
    <w:p>
      <w:pPr>
        <w:pStyle w:val="Compact"/>
        <w:numPr>
          <w:ilvl w:val="0"/>
          <w:numId w:val="103"/>
        </w:numPr>
        <w:rPr/>
      </w:pPr>
      <w:r>
        <w:t>Retain rejected alternatives and dissent so that later review can reconstruct the original choice.</w:t>
      </w:r>
    </w:p>
    <w:p>
      <w:pPr>
        <w:pStyle w:val="Compact"/>
        <w:numPr>
          <w:ilvl w:val="0"/>
          <w:numId w:val="104"/>
        </w:numPr>
        <w:rPr/>
      </w:pPr>
      <w:r>
        <w:t>Use event-triggered review after incidents, material changes, vendor notices, major price changes, new evidence, altered populations, or changed workflows.</w:t>
      </w:r>
    </w:p>
    <w:p>
      <w:pPr>
        <w:pStyle w:val="Compact"/>
        <w:numPr>
          <w:ilvl w:val="0"/>
          <w:numId w:val="105"/>
        </w:numPr>
        <w:rPr/>
      </w:pPr>
      <w:r>
        <w:t>Close a project only after continuity, communication, data retention or deletion, contract closure, asset disposition, and organizational learning are documented.</w:t>
      </w:r>
    </w:p>
    <w:p>
      <w:pPr>
        <w:pStyle w:val="Heading1"/>
        <w:keepNext w:val="true"/>
        <w:keepLines/>
        <w:pBdr>
          <w:bottom w:val="single" w:sz="8" w:space="4" w:color="B58A95"/>
        </w:pBdr>
        <w:rPr/>
      </w:pPr>
      <w:r>
        <w:t>Customization and Quality Review</w:t>
      </w:r>
    </w:p>
    <w:p>
      <w:pPr>
        <w:pStyle w:val="FirstParagraph"/>
        <w:rPr/>
      </w:pPr>
      <w:r>
        <w:t>A local adaptation should identify what changed and why. Edits that alter a definition, threshold, formula, score, mandatory safeguard, or decision rule require more scrutiny than edits to layout or local terminology. Before approval, reviewers should confirm that:</w:t>
      </w:r>
    </w:p>
    <w:p>
      <w:pPr>
        <w:pStyle w:val="Compact"/>
        <w:numPr>
          <w:ilvl w:val="0"/>
          <w:numId w:val="106"/>
        </w:numPr>
        <w:rPr/>
      </w:pPr>
      <w:r>
        <w:t>the decision problem and comparator remain clear;</w:t>
      </w:r>
    </w:p>
    <w:p>
      <w:pPr>
        <w:pStyle w:val="Compact"/>
        <w:numPr>
          <w:ilvl w:val="0"/>
          <w:numId w:val="107"/>
        </w:numPr>
        <w:rPr/>
      </w:pPr>
      <w:r>
        <w:t>the exact intervention and version are traceable;</w:t>
      </w:r>
    </w:p>
    <w:p>
      <w:pPr>
        <w:pStyle w:val="Compact"/>
        <w:numPr>
          <w:ilvl w:val="0"/>
          <w:numId w:val="108"/>
        </w:numPr>
        <w:rPr/>
      </w:pPr>
      <w:r>
        <w:t>the data and evidence are current and applicable;</w:t>
      </w:r>
    </w:p>
    <w:p>
      <w:pPr>
        <w:pStyle w:val="Compact"/>
        <w:numPr>
          <w:ilvl w:val="0"/>
          <w:numId w:val="109"/>
        </w:numPr>
        <w:rPr/>
      </w:pPr>
      <w:r>
        <w:t>assumptions and missing evidence are visible;</w:t>
      </w:r>
    </w:p>
    <w:p>
      <w:pPr>
        <w:pStyle w:val="Compact"/>
        <w:numPr>
          <w:ilvl w:val="0"/>
          <w:numId w:val="110"/>
        </w:numPr>
        <w:rPr/>
      </w:pPr>
      <w:r>
        <w:t>calculations are reproducible and independently checked in proportion to consequence;</w:t>
      </w:r>
    </w:p>
    <w:p>
      <w:pPr>
        <w:pStyle w:val="Compact"/>
        <w:numPr>
          <w:ilvl w:val="0"/>
          <w:numId w:val="111"/>
        </w:numPr>
        <w:rPr/>
      </w:pPr>
      <w:r>
        <w:t>subgroup, workload, affordability, continuity, and exit effects are not omitted;</w:t>
      </w:r>
    </w:p>
    <w:p>
      <w:pPr>
        <w:pStyle w:val="Compact"/>
        <w:numPr>
          <w:ilvl w:val="0"/>
          <w:numId w:val="112"/>
        </w:numPr>
        <w:rPr/>
      </w:pPr>
      <w:r>
        <w:t>mandatory safeguards are assessed independently of any aggregate score;</w:t>
      </w:r>
    </w:p>
    <w:p>
      <w:pPr>
        <w:pStyle w:val="Compact"/>
        <w:numPr>
          <w:ilvl w:val="0"/>
          <w:numId w:val="113"/>
        </w:numPr>
        <w:rPr/>
      </w:pPr>
      <w:r>
        <w:t>the decision conditions and monitoring triggers are operational; and</w:t>
      </w:r>
    </w:p>
    <w:p>
      <w:pPr>
        <w:pStyle w:val="Compact"/>
        <w:numPr>
          <w:ilvl w:val="0"/>
          <w:numId w:val="114"/>
        </w:numPr>
        <w:rPr/>
      </w:pPr>
      <w:r>
        <w:t>the completed record is stored, cited, and scheduled for review.</w:t>
      </w:r>
    </w:p>
    <w:p>
      <w:pPr>
        <w:pStyle w:val="Heading1"/>
        <w:keepNext w:val="true"/>
        <w:keepLines/>
        <w:pBdr>
          <w:bottom w:val="single" w:sz="8" w:space="4" w:color="B58A95"/>
        </w:pBdr>
        <w:rPr/>
      </w:pPr>
      <w:r>
        <w:t>Versioning and Citation</w:t>
      </w:r>
    </w:p>
    <w:p>
      <w:pPr>
        <w:pStyle w:val="FirstParagraph"/>
        <w:rPr/>
      </w:pPr>
      <w:r>
        <w:t>A recommended citation structure is:</w:t>
      </w:r>
    </w:p>
    <w:p>
      <w:pPr>
        <w:pStyle w:val="BlockText"/>
        <w:rPr/>
      </w:pPr>
      <w:r>
        <w:t>Zouri, M., and Cumpăt, C. M. Artificial Intelligence and Healthcare Economics: Digital Resource Companion. V1.0. 2026. Cite the DOI and repository URL associated with the specific release used.</w:t>
      </w:r>
    </w:p>
    <w:p>
      <w:pPr>
        <w:pStyle w:val="FirstParagraph"/>
        <w:rPr/>
      </w:pPr>
      <w:r>
        <w:t>For a specific resource, add the stable identifier and title:</w:t>
      </w:r>
    </w:p>
    <w:p>
      <w:pPr>
        <w:pStyle w:val="BlockText"/>
        <w:rPr/>
      </w:pPr>
      <w:r>
        <w:t>AIHE-[ID], [Resource title], V1.0, in the Digital Resource Companion, accessed [date], locally adapted by [institution] on [date].</w:t>
      </w:r>
    </w:p>
    <w:p>
      <w:pPr>
        <w:pStyle w:val="FirstParagraph"/>
        <w:rPr/>
      </w:pPr>
      <w:r>
        <w:t>A modified resource should retain the original citation and add a local version statement. Do not imply that a local adaptation has been reviewed or endorsed by the authors unless such review has occurred.</w:t>
      </w:r>
    </w:p>
    <w:p>
      <w:pPr>
        <w:pStyle w:val="Heading1"/>
        <w:keepNext w:val="true"/>
        <w:keepLines/>
        <w:pBdr>
          <w:bottom w:val="single" w:sz="8" w:space="4" w:color="B58A95"/>
        </w:pBdr>
        <w:rPr/>
      </w:pPr>
      <w:r>
        <w:t>Glossary</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Definition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Health Economics Dossier (AI-HED)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versioned evidence package linking the decision problem, evidence, economics, governance, implementation, monitoring, material change, and final recommendation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Health-System Value Chain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proposed causal sequence extending from problem and data through model output, decision, action, outcome, resource consequence, and public value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AI-HEVG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proposed Artificial Intelligence Health Economic Value and Governance Framework, integrating problem relevance, data readiness, clinical validity, economic value, ethical acceptability, organizational feasibility, and lifecycle governance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algorithmic bias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Systematic error or unfairness in artificial intelligence outputs or pathways that disadvantages particular groups, settings, or circumstances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algorithmovigilance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Continuing surveillance and governance of the real-world technical, clinical, economic, ethical, equity, workflow, cybersecurity, and trust performance of artificial intelligence-enabled interventions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artificial intelligence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broad family of computational techniques designed to perform tasks associated with human intelligence, including pattern recognition, prediction, language processing, classification, generation, optimization, and decision support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budget impact analysis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assessment of the expected financial consequences of adopting an intervention within a specified budget, population, uptake pattern, and time horizon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economy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systems approach that seeks to preserve the value of products, components, materials, infrastructure, and services while reducing virgin-resource use, waste, and environmental burden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health system</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health system that applies prevention, reduction, maintenance, sharing, reuse, repair, refurbishment, remanufacture, recovery, and responsible disposition while protecting clinical quality, safety, equity, and resilience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procurement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Procurement that evaluates the service need and full lifecycle, including durability, maintenance, repair, interoperability, useful life, environmental information, take-back, residual value, and exit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circularity-adjusted net benefit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author-developed scenario-analysis expression extending conventional net monetary benefit with selected monetized environmental, residual-value, and resilience terms while retaining disaggregated outcomes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decision support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Tools that provide patient-specific information, predictions, alerts, or recommendations to support clinical decisions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corrective and preventive action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structured process for containing a problem, investigating causes, implementing corrective and preventive measures, and verifying their effectiveness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cost-effectiveness analysis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economic evaluation comparing the incremental costs and outcomes of alternative interventions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cost-utility analysis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form of cost-effectiveness analysis in which outcomes are commonly expressed as quality-adjusted life years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 provenance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Documented information about the origin, ownership, timing, transformation, version, and lineage of data used in an analysis or artificial intelligence system</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de-adoption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deliberate reduction, restriction, replacement, or cessation of an intervention that no longer provides an acceptable balance of value, evidence, feasibility, and risk</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decommissioning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planned technical, contractual, operational, data, and asset activities required to retire a digital or artificial intelligence system safely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digital exclusion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Barriers that prevent people from benefiting from digital health services because of access, literacy, language, disability, income, geography, design, or trust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digital product passport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digital information mechanism used in European sustainable-product policy to provide product information across the value chain, subject to product-specific requirements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EWAHE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proposed Equity-Weighted AI Health Economics process for examining subgroup performance, access, outcomes, costs, distribution, mitigation, and revised decisions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GATED-AI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proposed sequential procurement and approval process covering problem, evidence, data, economics, ethics, workflow, contract, monitoring, and exit gates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generative 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Artificial intelligence systems that generate text, images, code, summaries, recommendations, or other outputs in response to prompts or contextual inputs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health technology assessment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multidisciplinary process that evaluates the clinical, economic, organizational, ethical, and social implications of a health technology to support policy and adoption decisions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HOAM</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proposed Human Oversight and Accountability Matrix, which assigns accountable, responsible, consulted, and informed roles across the artificial intelligence lifecycle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 oversight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arrangements that enable people to understand, supervise, question, intervene in, override, restrict, or stop an artificial intelligence system</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interoperability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ability of systems and organizations to exchange, interpret, and use information consistently across technical, semantic, organizational, and temporal boundaries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joint clinical assessment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collaborative European Union health technology assessment of relative clinical effectiveness and safety under Regulation (EU) 2021/2282, while national authorities retain responsibility for economic appraisal and reimbursement decisions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assessment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method for assessing environmental burdens across defined stages of a product or service lifecycle, from resource extraction through use and end of life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costing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approach that estimates costs across acquisition, implementation, use, maintenance, updating, transition, and end-of-life stages within a defined boundary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validation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Evaluation of a system using data, users, workflows, populations, and operational conditions from the intended local setting before or during controlled deployment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machine learning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subset of artificial intelligence in which a model learns patterns or decision functions from data rather than relying only on explicitly programmed rules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 change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change in a model, software, data, threshold, intended use, population, workflow, infrastructure, price, vendor arrangement, or governance that may alter performance, risk, value, or obligations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material-flow analysis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method for tracing the quantities and movement of products, components, or materials into, within, and out of a defined system</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drift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decline or change in model performance over time because data, populations, prevalence, workflow, coding, practice, or user behaviour have changed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net monetary benefit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decision measure that values incremental outcomes at a stated threshold and subtracts incremental cost, facilitating comparison under uncertainty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non-compensatory safeguard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minimum requirement that cannot be offset by favorable scores in other domains, such as patient safety, lawful data use, privacy, cybersecurity, equity, continuity, or accountability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product circularity data sheet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standardized structure for communicating product information relevant to circularity, value retention, recovery, and lifecycle decisions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Public Value AI Scorecard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proposed structured summary of clinical, economic, equity, workforce, patient, governance, strategic, and sustainability value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quality-adjusted life year</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measure combining duration and health-related quality of life, with one unit representing one year in full health</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rebound effect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increase in total resource use, demand, or downstream activity that partly or fully offsets an efficiency improvement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repairability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practical ability to restore function through accessible parts, documentation, diagnostics, skills, service rights, software support, and economically feasible repair</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residual value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realizable value remaining in an asset, component, material, licence, or service arrangement at a specified point, net of costs required to recover that value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return on investment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financial measure comparing realized gains or savings with costs; in health systems it should be interpreted alongside clinical, distributional, organizational, and public value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proposed process for specifying purpose, harmonizing data, authorizing access, reviewing risks, evaluating value, and auditing implementation of secondary data use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statistical process control</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use of time-ordered data and control limits to distinguish common-cause variation from signals that warrant investigation or corrective action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TAV</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proposed Trust-Adjusted Value framework for interpreting clinical and economic value in light of transparency, fairness, patient trust, professional trust, and public accountability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TCAIO</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proposed Total Cost of AI Ownership framework, including acquisition, integration, data, workforce, governance, cybersecurity, monitoring, opportunity, material-change, and exit costs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technical debt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future cost and risk created when short-term technical choices leave fragile interfaces, undocumented transformations, outdated dependencies, or deferred maintenance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total cost of ownership</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full lifecycle cost of acquisition, implementation, integration, operation, monitoring, updating, support, transition, and exit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VALIDATE-AI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proposed implementation pathway comprising Verify, Assess, Local validation, Implement pilot, Determine value, Adapt governance, Transition to scale, and Evaluate continuously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value of information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analytic approach estimating the expected benefit of reducing decision uncertainty through additional evidence</w:t>
            </w:r>
            <w:bookmarkStart w:id="372" w:name="glossary"/>
            <w:bookmarkEnd w:id="372"/>
          </w:p>
        </w:tc>
      </w:tr>
    </w:tbl>
    <w:p>
      <w:pPr>
        <w:pStyle w:val="Heading1"/>
        <w:keepNext w:val="true"/>
        <w:keepLines/>
        <w:pBdr>
          <w:bottom w:val="single" w:sz="8" w:space="4" w:color="B58A95"/>
        </w:pBdr>
        <w:rPr/>
      </w:pPr>
      <w:r>
        <w:t>Abbreviations and Acronyms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Abbreviation</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Meaning</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ABM</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agent-based model</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artificial intelligence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Health Economics Dossier</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AI-HEVG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Artificial Intelligence Health Economic Value and Governance Framework</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application programming interface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BIA</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budget impact analysis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CAPA</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corrective and preventive action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CEA</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cost-effectiveness analysis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CFIR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Consolidated Framework for Implementation Research</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CHEERS-AI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Consolidated Health Economic Evaluation Reporting Standards for interventions using artificial intelligence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CONSORT-AI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Consolidated Standards of Reporting Trials–Artificial Intelligence extension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CUA</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cost-utility analysis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DECIDE-AI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Developmental and Exploratory Clinical Investigations of Decision support systems driven by Artificial Intelligence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discrete-event simulation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DPP</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digital product passport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EHDS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European Health Data Space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EHR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electronic health record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European Union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EVPI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value of perfect information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EVPPI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value of partial perfect information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EWAHE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Equity-Weighted AI Health Economics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FHIR</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Fast Healthcare Interoperability Resources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GRADE-CERQual</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Grading of Recommendations Assessment, Development and Evaluation–Confidence in the Evidence from Reviews of Qualitative research</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HOAM</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 Oversight and Accountability Matrix</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HTA</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health technology assessment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ICER</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cost-effectiveness ratio</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ISO/IEC</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International Organization for Standardization and International Electrotechnical Commission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JCA</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joint clinical assessment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LCA</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assessment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LCC</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costing</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MFA</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material-flow analysis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MLOps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machine-learning operations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NASSS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Nonadoption, Abandonment, Scale-up, Spread, and Sustainability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NICE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National Institute for Health and Care Excellence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NIST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National Institute of Standards and Technology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NMB</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net monetary benefit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OECD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Organisation for Economic Co-operation and Development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OMOP</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Observational Medical Outcomes Partnership common data model</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PRISMA</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Reporting Items for Systematic Reviews and Meta-Analyses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PROBAST+AI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Prediction model Risk Of Bias ASsessment Tool plus artificial intelligence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QALY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quality-adjusted life year</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ROI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return on investment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Specify, Harmonize, Authorize, Review, Evaluate, and Audit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SPC</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statistical process control</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SPIRIT-AI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Standard Protocol Items: Recommendations for Interventional Trials–Artificial Intelligence extension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STARD-AI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Standards for Reporting Diagnostic Accuracy Studies–Artificial Intelligence extension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TAV</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Trust-Adjusted Value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TCAIO</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Total Cost of AI Ownership</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TCO</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total cost of ownership</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TRIPOD+AI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Transparent Reporting of a multivariable prediction model for Individual Prognosis Or Diagnosis plus artificial intelligence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VALIDATE-AI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Verify, Assess, Local validation, Implement pilot, Determine value, Adapt governance, Transition to scale, and Evaluate continuously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WHO</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World Health Organization</w:t>
            </w:r>
          </w:p>
        </w:tc>
      </w:tr>
    </w:tbl>
    <w:p>
      <w:pPr>
        <w:pStyle w:val="Heading1"/>
        <w:keepNext w:val="true"/>
        <w:keepLines/>
        <w:pBdr>
          <w:bottom w:val="single" w:sz="8" w:space="4" w:color="B58A95"/>
        </w:pBdr>
        <w:rPr/>
      </w:pPr>
      <w:r>
        <w:t>Responsible Use</w:t>
      </w:r>
    </w:p>
    <w:p>
      <w:pPr>
        <w:pStyle w:val="FirstParagraph"/>
        <w:rPr/>
      </w:pPr>
      <w:r>
        <w:t>These resources support structured analysis, documentation, education, and institutional deliberation. They do not replace professional judgement or the governance duties of the adopting organization. A completed template does not establish that an intervention is safe, lawful, effective, equitable, affordable, sustainable, or appropriate. The final responsibility is to make evidence, uncertainty, value judgements, ownership, safeguards, and the ability to change course visible enough for an accountable decision.</w:t>
      </w:r>
    </w:p>
    <w:p>
      <w:pPr>
        <w:pStyle w:val="Heading1"/>
        <w:keepNext w:val="true"/>
        <w:keepLines/>
        <w:pBdr>
          <w:bottom w:val="single" w:sz="8" w:space="4" w:color="B58A95"/>
        </w:pBdr>
        <w:rPr/>
      </w:pPr>
      <w:r>
        <w:t>References</w:t>
      </w:r>
    </w:p>
    <w:p>
      <w:pPr>
        <w:pStyle w:val="Bibliography"/>
        <w:rPr/>
      </w:pPr>
      <w:r>
        <w:t xml:space="preserve">1. </w:t>
        <w:tab/>
        <w:t xml:space="preserve">Hill H, Roadevin C. Economic evaluation of artificial intelligence for cancer detection in the UK breast screening programme. British Journal of Cancer. 2026;135:453–60. </w:t>
      </w:r>
    </w:p>
    <w:p>
      <w:pPr>
        <w:pStyle w:val="Bibliography"/>
        <w:rPr/>
      </w:pPr>
      <w:r>
        <w:t xml:space="preserve">2. </w:t>
        <w:tab/>
        <w:t xml:space="preserve">Degeling K, Karnon J, Ven M van de, Brennan A, Koffijberg H. Discrete event simulation in R using the ’simmer’ package for health economic modelling: A tutorial and illustration in colon cancer. Applied Health Economics and Health Policy. 2025;23(6):961–75. </w:t>
      </w:r>
    </w:p>
    <w:p>
      <w:pPr>
        <w:pStyle w:val="Bibliography"/>
        <w:rPr/>
      </w:pPr>
      <w:r>
        <w:t xml:space="preserve">3. </w:t>
        <w:tab/>
        <w:t xml:space="preserve">Elvidge J, Hawksworth C, Avşar TS, Zemplenyi A, Chalkidou A, Petrou S, et al. Consolidated Health Economic Evaluation Reporting Standards for interventions that use artificial intelligence (CHEERS-AI). Value in Health. 2024;27(9):1196–205. </w:t>
      </w:r>
    </w:p>
    <w:p>
      <w:pPr>
        <w:pStyle w:val="Bibliography"/>
        <w:rPr/>
      </w:pPr>
      <w:r>
        <w:t xml:space="preserve">4. </w:t>
        <w:tab/>
        <w:t xml:space="preserve">Kunst N, Siu A, Drummond M, Grimm S, Grutters J, Husereau D, et al. Reporting economic evaluations with value of information analyses using the CHEERS value of information (CHEERS-VOI) reporting guideline. Medical Decision Making. 2024;44(2):127–8. </w:t>
      </w:r>
    </w:p>
    <w:p>
      <w:pPr>
        <w:pStyle w:val="Bibliography"/>
        <w:spacing w:before="0" w:after="80"/>
        <w:rPr/>
      </w:pPr>
      <w:r>
        <w:t xml:space="preserve">5. </w:t>
        <w:tab/>
        <w:t xml:space="preserve">Erdemir A, Mulugeta L, Ku JP, Drach A, Horner M, Morrison TM, et al. Credible practice of modeling and simulation in healthcare: Ten rules from a multidisciplinary perspective. Journal of Translational Medicine. 2020;18. </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080" w:right="1080" w:gutter="0" w:header="403" w:top="1037" w:footer="403" w:bottom="979"/>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Arial">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re"/>
      <w:rPr/>
    </w:pPr>
    <w:r>
      <w:rPr>
        <w:color w:val="5F5A5B"/>
        <w:sz w:val="15"/>
      </w:rPr>
      <w:t>Muthana Zouri · Carmen Marinela Cumpăt · Grigore T. Popa University of Medicine and Pharmacy Publishing House ·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20"/>
        <w:tab w:val="right" w:pos="9749" w:leader="none"/>
      </w:tabs>
      <w:spacing w:before="0" w:after="0"/>
      <w:rPr/>
    </w:pPr>
    <w:r>
      <w:rPr>
        <w:rFonts w:ascii="Arial" w:hAnsi="Arial"/>
        <w:color w:val="5F5F5F"/>
        <w:sz w:val="16"/>
      </w:rPr>
      <w:t>Artificial Intelligence and Healthcare Economics</w:t>
    </w:r>
    <w:r>
      <w:rPr/>
      <w:tab/>
    </w:r>
    <w:r>
      <w:rPr>
        <w:rFonts w:ascii="Arial" w:hAnsi="Arial"/>
        <w:color w:val="5F5F5F"/>
        <w:sz w:val="16"/>
      </w:rPr>
      <w:t>Digital Resource Companion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1"/>
    <w:lvlOverride w:ilvl="0">
      <w:startOverride w:val="1"/>
    </w:lvlOverride>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1"/>
    <w:lvlOverride w:ilvl="0">
      <w:startOverride w:val="1"/>
    </w:lvlOverride>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GB"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54" w:before="0" w:after="80"/>
      <w:jc w:val="left"/>
    </w:pPr>
    <w:rPr>
      <w:rFonts w:ascii="Aptos" w:hAnsi="Aptos" w:eastAsia="Times New Roman" w:cs=""/>
      <w:color w:val="1F1F1F"/>
      <w:kern w:val="0"/>
      <w:sz w:val="21"/>
      <w:szCs w:val="24"/>
      <w:lang w:val="en-GB" w:eastAsia="en-US" w:bidi="ar-SA"/>
    </w:rPr>
  </w:style>
  <w:style w:type="paragraph" w:styleId="Heading1">
    <w:name w:val="heading 1"/>
    <w:basedOn w:val="Normal"/>
    <w:next w:val="BodyText"/>
    <w:uiPriority w:val="9"/>
    <w:qFormat/>
    <w:pPr>
      <w:keepNext w:val="true"/>
      <w:keepLines/>
      <w:spacing w:before="480" w:after="0"/>
      <w:outlineLvl w:val="0"/>
    </w:pPr>
    <w:rPr>
      <w:rFonts w:ascii="Georgia" w:hAnsi="Georgia" w:eastAsia="" w:cs="" w:asciiTheme="majorHAnsi" w:cstheme="majorBidi" w:eastAsiaTheme="majorEastAsia" w:hAnsiTheme="majorHAnsi"/>
      <w:b/>
      <w:bCs/>
      <w:color w:val="7B1734"/>
      <w:sz w:val="36"/>
      <w:szCs w:val="32"/>
    </w:rPr>
  </w:style>
  <w:style w:type="paragraph" w:styleId="Heading2">
    <w:name w:val="heading 2"/>
    <w:basedOn w:val="Normal"/>
    <w:next w:val="BodyText"/>
    <w:uiPriority w:val="9"/>
    <w:unhideWhenUsed/>
    <w:qFormat/>
    <w:pPr>
      <w:keepNext w:val="true"/>
      <w:keepLines/>
      <w:spacing w:before="200" w:after="0"/>
      <w:outlineLvl w:val="1"/>
    </w:pPr>
    <w:rPr>
      <w:rFonts w:ascii="Georgia" w:hAnsi="Georgia" w:eastAsia="" w:cs="" w:asciiTheme="majorHAnsi" w:cstheme="majorBidi" w:eastAsiaTheme="majorEastAsia" w:hAnsiTheme="majorHAnsi"/>
      <w:b/>
      <w:bCs/>
      <w:color w:val="183B56"/>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Georgia" w:hAnsi="Georgia" w:eastAsia="" w:cs="" w:asciiTheme="majorHAnsi" w:cstheme="majorBidi" w:eastAsiaTheme="majorEastAsia" w:hAnsiTheme="majorHAnsi"/>
      <w:b/>
      <w:bCs/>
      <w:color w:val="7B1734"/>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widowControl/>
      <w:spacing w:lineRule="auto" w:line="254" w:before="180" w:after="80"/>
    </w:pPr>
    <w:rPr>
      <w:rFonts w:ascii="Times New Roman" w:hAnsi="Times New Roman" w:eastAsia="Times New Roman"/>
      <w:color w:val="1F1F1F"/>
      <w:sz w:val="21"/>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widowControl/>
      <w:spacing w:lineRule="auto" w:line="254" w:before="180" w:after="80"/>
    </w:pPr>
    <w:rPr>
      <w:rFonts w:ascii="Times New Roman" w:hAnsi="Times New Roman" w:eastAsia="Times New Roman"/>
      <w:color w:val="1F1F1F"/>
      <w:sz w:val="21"/>
    </w:rPr>
  </w:style>
  <w:style w:type="paragraph" w:styleId="Compact" w:customStyle="1">
    <w:name w:val="Compact"/>
    <w:basedOn w:val="BodyText"/>
    <w:qFormat/>
    <w:pPr>
      <w:widowControl/>
      <w:spacing w:lineRule="auto" w:line="254" w:before="36" w:after="80"/>
    </w:pPr>
    <w:rPr>
      <w:rFonts w:ascii="Times New Roman" w:hAnsi="Times New Roman" w:eastAsia="Times New Roman"/>
      <w:color w:val="1F1F1F"/>
      <w:sz w:val="21"/>
    </w:rPr>
  </w:style>
  <w:style w:type="paragraph" w:styleId="Title">
    <w:name w:val="Title"/>
    <w:basedOn w:val="Normal"/>
    <w:next w:val="BodyText"/>
    <w:qFormat/>
    <w:pPr>
      <w:keepNext w:val="true"/>
      <w:keepLines/>
      <w:spacing w:before="2100" w:after="260"/>
      <w:jc w:val="centre"/>
    </w:pPr>
    <w:rPr>
      <w:rFonts w:ascii="Georgia" w:hAnsi="Georgia" w:eastAsia="" w:cs="" w:asciiTheme="majorHAnsi" w:cstheme="majorBidi" w:eastAsiaTheme="majorEastAsia" w:hAnsiTheme="majorHAnsi"/>
      <w:b/>
      <w:bCs/>
      <w:color w:val="7B1734"/>
      <w:sz w:val="56"/>
      <w:szCs w:val="36"/>
    </w:rPr>
  </w:style>
  <w:style w:type="paragraph" w:styleId="Subtitle">
    <w:name w:val="Subtitle"/>
    <w:basedOn w:val="Title"/>
    <w:next w:val="BodyText"/>
    <w:qFormat/>
    <w:pPr>
      <w:keepNext w:val="true"/>
      <w:keepLines/>
      <w:spacing w:before="240" w:after="360"/>
      <w:jc w:val="centre"/>
    </w:pPr>
    <w:rPr>
      <w:rFonts w:ascii="Aptos" w:hAnsi="Aptos" w:eastAsia="Arial"/>
      <w:i w:val="false"/>
      <w:color w:val="555052"/>
      <w:sz w:val="28"/>
      <w:szCs w:val="30"/>
    </w:rPr>
  </w:style>
  <w:style w:type="paragraph" w:styleId="Author" w:customStyle="1">
    <w:name w:val="Author"/>
    <w:next w:val="BodyText"/>
    <w:qFormat/>
    <w:pPr>
      <w:keepNext w:val="true"/>
      <w:keepLines/>
      <w:widowControl/>
      <w:bidi w:val="0"/>
      <w:spacing w:before="0" w:after="140"/>
      <w:jc w:val="centre"/>
    </w:pPr>
    <w:rPr>
      <w:rFonts w:ascii="Times New Roman" w:hAnsi="Times New Roman" w:eastAsia="Times New Roman" w:cs=""/>
      <w:color w:val="202020"/>
      <w:kern w:val="0"/>
      <w:sz w:val="24"/>
      <w:szCs w:val="24"/>
      <w:lang w:val="en-GB" w:eastAsia="en-US" w:bidi="ar-SA"/>
    </w:rPr>
  </w:style>
  <w:style w:type="paragraph" w:styleId="Date">
    <w:name w:val="Date"/>
    <w:next w:val="BodyText"/>
    <w:qFormat/>
    <w:pPr>
      <w:keepNext w:val="true"/>
      <w:keepLines/>
      <w:widowControl/>
      <w:bidi w:val="0"/>
      <w:spacing w:before="120" w:after="0"/>
      <w:jc w:val="centre"/>
    </w:pPr>
    <w:rPr>
      <w:rFonts w:ascii="Arial" w:hAnsi="Arial" w:eastAsia="Arial" w:cs=""/>
      <w:color w:val="606060"/>
      <w:kern w:val="0"/>
      <w:sz w:val="19"/>
      <w:szCs w:val="24"/>
      <w:lang w:val="en-GB" w:eastAsia="en-US" w:bidi="ar-SA"/>
    </w:rPr>
  </w:style>
  <w:style w:type="paragraph" w:styleId="AbstractTitle" w:customStyle="1">
    <w:name w:val="Abstract Title"/>
    <w:basedOn w:val="Normal"/>
    <w:next w:val="Abstract"/>
    <w:qFormat/>
    <w:pPr>
      <w:keepNext w:val="true"/>
      <w:keepLines/>
      <w:spacing w:before="300" w:after="0"/>
      <w:jc w:val="centre"/>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widowControl/>
      <w:spacing w:lineRule="auto" w:line="254" w:before="100" w:after="80"/>
      <w:ind w:hanging="0" w:left="480" w:right="480"/>
    </w:pPr>
    <w:rPr>
      <w:rFonts w:ascii="Times New Roman" w:hAnsi="Times New Roman" w:eastAsia="Times New Roman"/>
      <w:color w:val="1F1F1F"/>
      <w:sz w:val="21"/>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GB"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pacing w:before="80" w:after="120"/>
    </w:pPr>
    <w:rPr>
      <w:rFonts w:ascii="Consolas" w:hAnsi="Consolas" w:eastAsia="Consolas"/>
      <w:color w:val="333333"/>
      <w:sz w:val="17"/>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38/s41416-026-03465-3" TargetMode="External"/><Relationship Id="rId3" Type="http://schemas.openxmlformats.org/officeDocument/2006/relationships/hyperlink" Target="https://doi.org/10.1007/s40258-025-00983-8" TargetMode="External"/><Relationship Id="rId4" Type="http://schemas.openxmlformats.org/officeDocument/2006/relationships/hyperlink" Target="https://doi.org/10.1016/j.jval.2024.05.006" TargetMode="External"/><Relationship Id="rId5" Type="http://schemas.openxmlformats.org/officeDocument/2006/relationships/hyperlink" Target="https://doi.org/10.1177/0272989X231214791" TargetMode="External"/><Relationship Id="rId6" Type="http://schemas.openxmlformats.org/officeDocument/2006/relationships/hyperlink" Target="https://doi.org/10.1186/s12967-020-02540-4"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
  <AppVersion>15.0000</AppVersion>
  <Pages>105</Pages>
  <Words>32342</Words>
  <Characters>215322</Characters>
  <CharactersWithSpaces>243966</CharactersWithSpaces>
  <Paragraphs>3932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2026-08-10T21:10:24Z</dcterms:created>
  <dc:creator>Muthana Zouri; Carmen Marinela Cumpăt</dc:creator>
  <dc:description/>
  <cp:keywords>healthcare economics; artificial intelligence; governance; sustainable value</cp:keywords>
  <dc:language>en-GB</dc:language>
  <cp:lastModifiedBy/>
  <dcterms:modified xsi:type="dcterms:W3CDTF">2026-08-10T21:10:38Z</dcterms:modified>
  <cp:revision>1</cp:revision>
  <dc:subject>Evidence, Value, Governance, and Sustainability</dc:subject>
  <dc:title>Artificial Intelligence and Healthcare Economics — Digital Resource Companion</dc:title>
  <cp:category>Digital Resource Companion</cp:category>
</cp:coreProperties>
</file>