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A2334"/>
          <w:sz w:val="48"/>
        </w:rPr>
        <w:t>Common Case-Analysis Method</w:t>
      </w:r>
    </w:p>
    <w:p>
      <w:pPr>
        <w:jc w:val="center"/>
      </w:pPr>
      <w:r>
        <w:rPr>
          <w:sz w:val="22"/>
        </w:rPr>
        <w:t>AIHE-CASE00  |  V1.0</w:t>
      </w:r>
    </w:p>
    <w:p>
      <w:pPr>
        <w:pStyle w:val="Heading1"/>
      </w:pPr>
      <w:r>
        <w:t>Purpose</w:t>
      </w:r>
    </w:p>
    <w:p>
      <w:r>
        <w:t>This template provides a consistent method for analysing synthetic worked cases and locally developed institutional decisions. It makes the problem, evidence, assumptions, resource consequences, governance requirements, and lifecycle conditions visible without reducing the decision to one compensatory score.</w:t>
      </w:r>
    </w:p>
    <w:p>
      <w:pPr>
        <w:pStyle w:val="Heading1"/>
      </w:pPr>
      <w:r>
        <w:t>Instructions</w:t>
      </w:r>
    </w:p>
    <w:p>
      <w:pPr>
        <w:pStyle w:val="ListBullet"/>
        <w:spacing w:after="40"/>
      </w:pPr>
      <w:r>
        <w:t>Read the relevant book chapter and case scenario before completing the template.</w:t>
      </w:r>
    </w:p>
    <w:p>
      <w:pPr>
        <w:pStyle w:val="ListBullet"/>
        <w:spacing w:after="40"/>
      </w:pPr>
      <w:r>
        <w:t>State realistic comparators and describe the complete intervention rather than the model alone.</w:t>
      </w:r>
    </w:p>
    <w:p>
      <w:pPr>
        <w:pStyle w:val="ListBullet"/>
        <w:spacing w:after="40"/>
      </w:pPr>
      <w:r>
        <w:t>Separate external evidence, local evidence, assumptions, and unknowns.</w:t>
      </w:r>
    </w:p>
    <w:p>
      <w:pPr>
        <w:pStyle w:val="ListBullet"/>
        <w:spacing w:after="40"/>
      </w:pPr>
      <w:r>
        <w:t>Record cost, affordability, distributional, governance, implementation, and lifecycle consequences.</w:t>
      </w:r>
    </w:p>
    <w:p>
      <w:pPr>
        <w:pStyle w:val="ListBullet"/>
        <w:spacing w:after="40"/>
      </w:pPr>
      <w:r>
        <w:t>Conclude with a decision, conditions, owners, review date, monitoring thresholds, and exit or renewal pathway.</w:t>
      </w:r>
    </w:p>
    <w:p>
      <w:pPr>
        <w:pStyle w:val="Heading1"/>
      </w:pPr>
      <w:r>
        <w:t>1. Problem, Comparator, and Intervention</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311"/>
            <w:shd w:fill="7A2334"/>
            <w:vAlign w:val="center"/>
          </w:tcPr>
          <w:p>
            <w:pPr>
              <w:jc w:val="center"/>
            </w:pPr>
            <w:r/>
            <w:r>
              <w:rPr>
                <w:b/>
                <w:color w:val="FFFFFF"/>
                <w:sz w:val="16"/>
              </w:rPr>
              <w:t>Element</w:t>
            </w:r>
          </w:p>
        </w:tc>
        <w:tc>
          <w:tcPr>
            <w:tcW w:type="dxa" w:w="7056"/>
            <w:shd w:fill="7A2334"/>
            <w:vAlign w:val="center"/>
          </w:tcPr>
          <w:p>
            <w:pPr>
              <w:jc w:val="center"/>
            </w:pPr>
            <w:r/>
            <w:r>
              <w:rPr>
                <w:b/>
                <w:color w:val="FFFFFF"/>
                <w:sz w:val="16"/>
              </w:rPr>
              <w:t>Response</w:t>
            </w:r>
          </w:p>
        </w:tc>
      </w:tr>
      <w:tr>
        <w:tc>
          <w:tcPr>
            <w:tcW w:type="dxa" w:w="3311"/>
            <w:vAlign w:val="center"/>
          </w:tcPr>
          <w:p>
            <w:pPr>
              <w:jc w:val="left"/>
            </w:pPr>
            <w:r/>
            <w:r>
              <w:rPr>
                <w:b w:val="0"/>
                <w:sz w:val="16"/>
              </w:rPr>
              <w:t>Decision problem and baseline burden</w:t>
            </w:r>
          </w:p>
        </w:tc>
        <w:tc>
          <w:tcPr>
            <w:tcW w:type="dxa" w:w="7056"/>
            <w:vAlign w:val="center"/>
          </w:tcPr>
          <w:p>
            <w:pPr>
              <w:jc w:val="left"/>
            </w:pPr>
            <w:r/>
            <w:r>
              <w:rPr>
                <w:b w:val="0"/>
                <w:sz w:val="16"/>
              </w:rPr>
            </w:r>
          </w:p>
        </w:tc>
      </w:tr>
      <w:tr>
        <w:tc>
          <w:tcPr>
            <w:tcW w:type="dxa" w:w="3311"/>
            <w:vAlign w:val="center"/>
          </w:tcPr>
          <w:p>
            <w:pPr>
              <w:jc w:val="left"/>
            </w:pPr>
            <w:r/>
            <w:r>
              <w:rPr>
                <w:b w:val="0"/>
                <w:sz w:val="16"/>
              </w:rPr>
              <w:t>Population, setting, and decision-maker</w:t>
            </w:r>
          </w:p>
        </w:tc>
        <w:tc>
          <w:tcPr>
            <w:tcW w:type="dxa" w:w="7056"/>
            <w:vAlign w:val="center"/>
          </w:tcPr>
          <w:p>
            <w:pPr>
              <w:jc w:val="left"/>
            </w:pPr>
            <w:r/>
            <w:r>
              <w:rPr>
                <w:b w:val="0"/>
                <w:sz w:val="16"/>
              </w:rPr>
            </w:r>
          </w:p>
        </w:tc>
      </w:tr>
      <w:tr>
        <w:tc>
          <w:tcPr>
            <w:tcW w:type="dxa" w:w="3311"/>
            <w:vAlign w:val="center"/>
          </w:tcPr>
          <w:p>
            <w:pPr>
              <w:jc w:val="left"/>
            </w:pPr>
            <w:r/>
            <w:r>
              <w:rPr>
                <w:b w:val="0"/>
                <w:sz w:val="16"/>
              </w:rPr>
              <w:t>Complete intervention bundle</w:t>
            </w:r>
          </w:p>
        </w:tc>
        <w:tc>
          <w:tcPr>
            <w:tcW w:type="dxa" w:w="7056"/>
            <w:vAlign w:val="center"/>
          </w:tcPr>
          <w:p>
            <w:pPr>
              <w:jc w:val="left"/>
            </w:pPr>
            <w:r/>
            <w:r>
              <w:rPr>
                <w:b w:val="0"/>
                <w:sz w:val="16"/>
              </w:rPr>
            </w:r>
          </w:p>
        </w:tc>
      </w:tr>
      <w:tr>
        <w:tc>
          <w:tcPr>
            <w:tcW w:type="dxa" w:w="3311"/>
            <w:vAlign w:val="center"/>
          </w:tcPr>
          <w:p>
            <w:pPr>
              <w:jc w:val="left"/>
            </w:pPr>
            <w:r/>
            <w:r>
              <w:rPr>
                <w:b w:val="0"/>
                <w:sz w:val="16"/>
              </w:rPr>
              <w:t>Realistic comparators</w:t>
            </w:r>
          </w:p>
        </w:tc>
        <w:tc>
          <w:tcPr>
            <w:tcW w:type="dxa" w:w="7056"/>
            <w:vAlign w:val="center"/>
          </w:tcPr>
          <w:p>
            <w:pPr>
              <w:jc w:val="left"/>
            </w:pPr>
            <w:r/>
            <w:r>
              <w:rPr>
                <w:b w:val="0"/>
                <w:sz w:val="16"/>
              </w:rPr>
            </w:r>
          </w:p>
        </w:tc>
      </w:tr>
      <w:tr>
        <w:tc>
          <w:tcPr>
            <w:tcW w:type="dxa" w:w="3311"/>
            <w:vAlign w:val="center"/>
          </w:tcPr>
          <w:p>
            <w:pPr>
              <w:jc w:val="left"/>
            </w:pPr>
            <w:r/>
            <w:r>
              <w:rPr>
                <w:b w:val="0"/>
                <w:sz w:val="16"/>
              </w:rPr>
              <w:t>Decision rule and time horizon</w:t>
            </w:r>
          </w:p>
        </w:tc>
        <w:tc>
          <w:tcPr>
            <w:tcW w:type="dxa" w:w="7056"/>
            <w:vAlign w:val="center"/>
          </w:tcPr>
          <w:p>
            <w:pPr>
              <w:jc w:val="left"/>
            </w:pPr>
            <w:r/>
            <w:r>
              <w:rPr>
                <w:b w:val="0"/>
                <w:sz w:val="16"/>
              </w:rPr>
            </w:r>
          </w:p>
        </w:tc>
      </w:tr>
    </w:tbl>
    <w:p>
      <w:pPr>
        <w:pStyle w:val="Heading1"/>
      </w:pPr>
      <w:r>
        <w:t>2. Evidence, Workflow, and Readiness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311"/>
            <w:shd w:fill="7A2334"/>
            <w:vAlign w:val="center"/>
          </w:tcPr>
          <w:p>
            <w:pPr>
              <w:jc w:val="center"/>
            </w:pPr>
            <w:r/>
            <w:r>
              <w:rPr>
                <w:b/>
                <w:color w:val="FFFFFF"/>
                <w:sz w:val="16"/>
              </w:rPr>
              <w:t>Element</w:t>
            </w:r>
          </w:p>
        </w:tc>
        <w:tc>
          <w:tcPr>
            <w:tcW w:type="dxa" w:w="7056"/>
            <w:shd w:fill="7A2334"/>
            <w:vAlign w:val="center"/>
          </w:tcPr>
          <w:p>
            <w:pPr>
              <w:jc w:val="center"/>
            </w:pPr>
            <w:r/>
            <w:r>
              <w:rPr>
                <w:b/>
                <w:color w:val="FFFFFF"/>
                <w:sz w:val="16"/>
              </w:rPr>
              <w:t>Response</w:t>
            </w:r>
          </w:p>
        </w:tc>
      </w:tr>
      <w:tr>
        <w:tc>
          <w:tcPr>
            <w:tcW w:type="dxa" w:w="3311"/>
            <w:vAlign w:val="center"/>
          </w:tcPr>
          <w:p>
            <w:pPr>
              <w:jc w:val="left"/>
            </w:pPr>
            <w:r/>
            <w:r>
              <w:rPr>
                <w:b w:val="0"/>
                <w:sz w:val="16"/>
              </w:rPr>
              <w:t>External evidence</w:t>
            </w:r>
          </w:p>
        </w:tc>
        <w:tc>
          <w:tcPr>
            <w:tcW w:type="dxa" w:w="7056"/>
            <w:vAlign w:val="center"/>
          </w:tcPr>
          <w:p>
            <w:pPr>
              <w:jc w:val="left"/>
            </w:pPr>
            <w:r/>
            <w:r>
              <w:rPr>
                <w:b w:val="0"/>
                <w:sz w:val="16"/>
              </w:rPr>
            </w:r>
          </w:p>
        </w:tc>
      </w:tr>
      <w:tr>
        <w:tc>
          <w:tcPr>
            <w:tcW w:type="dxa" w:w="3311"/>
            <w:vAlign w:val="center"/>
          </w:tcPr>
          <w:p>
            <w:pPr>
              <w:jc w:val="left"/>
            </w:pPr>
            <w:r/>
            <w:r>
              <w:rPr>
                <w:b w:val="0"/>
                <w:sz w:val="16"/>
              </w:rPr>
              <w:t>Local data fitness and validation</w:t>
            </w:r>
          </w:p>
        </w:tc>
        <w:tc>
          <w:tcPr>
            <w:tcW w:type="dxa" w:w="7056"/>
            <w:vAlign w:val="center"/>
          </w:tcPr>
          <w:p>
            <w:pPr>
              <w:jc w:val="left"/>
            </w:pPr>
            <w:r/>
            <w:r>
              <w:rPr>
                <w:b w:val="0"/>
                <w:sz w:val="16"/>
              </w:rPr>
            </w:r>
          </w:p>
        </w:tc>
      </w:tr>
      <w:tr>
        <w:tc>
          <w:tcPr>
            <w:tcW w:type="dxa" w:w="3311"/>
            <w:vAlign w:val="center"/>
          </w:tcPr>
          <w:p>
            <w:pPr>
              <w:jc w:val="left"/>
            </w:pPr>
            <w:r/>
            <w:r>
              <w:rPr>
                <w:b w:val="0"/>
                <w:sz w:val="16"/>
              </w:rPr>
              <w:t>Workflow and human factors</w:t>
            </w:r>
          </w:p>
        </w:tc>
        <w:tc>
          <w:tcPr>
            <w:tcW w:type="dxa" w:w="7056"/>
            <w:vAlign w:val="center"/>
          </w:tcPr>
          <w:p>
            <w:pPr>
              <w:jc w:val="left"/>
            </w:pPr>
            <w:r/>
            <w:r>
              <w:rPr>
                <w:b w:val="0"/>
                <w:sz w:val="16"/>
              </w:rPr>
            </w:r>
          </w:p>
        </w:tc>
      </w:tr>
      <w:tr>
        <w:tc>
          <w:tcPr>
            <w:tcW w:type="dxa" w:w="3311"/>
            <w:vAlign w:val="center"/>
          </w:tcPr>
          <w:p>
            <w:pPr>
              <w:jc w:val="left"/>
            </w:pPr>
            <w:r/>
            <w:r>
              <w:rPr>
                <w:b w:val="0"/>
                <w:sz w:val="16"/>
              </w:rPr>
              <w:t>Subgroup evidence and distribution</w:t>
            </w:r>
          </w:p>
        </w:tc>
        <w:tc>
          <w:tcPr>
            <w:tcW w:type="dxa" w:w="7056"/>
            <w:vAlign w:val="center"/>
          </w:tcPr>
          <w:p>
            <w:pPr>
              <w:jc w:val="left"/>
            </w:pPr>
            <w:r/>
            <w:r>
              <w:rPr>
                <w:b w:val="0"/>
                <w:sz w:val="16"/>
              </w:rPr>
            </w:r>
          </w:p>
        </w:tc>
      </w:tr>
      <w:tr>
        <w:tc>
          <w:tcPr>
            <w:tcW w:type="dxa" w:w="3311"/>
            <w:vAlign w:val="center"/>
          </w:tcPr>
          <w:p>
            <w:pPr>
              <w:jc w:val="left"/>
            </w:pPr>
            <w:r/>
            <w:r>
              <w:rPr>
                <w:b w:val="0"/>
                <w:sz w:val="16"/>
              </w:rPr>
              <w:t>Readiness gaps and prerequisites</w:t>
            </w:r>
          </w:p>
        </w:tc>
        <w:tc>
          <w:tcPr>
            <w:tcW w:type="dxa" w:w="7056"/>
            <w:vAlign w:val="center"/>
          </w:tcPr>
          <w:p>
            <w:pPr>
              <w:jc w:val="left"/>
            </w:pPr>
            <w:r/>
            <w:r>
              <w:rPr>
                <w:b w:val="0"/>
                <w:sz w:val="16"/>
              </w:rPr>
            </w:r>
          </w:p>
        </w:tc>
      </w:tr>
    </w:tbl>
    <w:p>
      <w:pPr>
        <w:pStyle w:val="Heading1"/>
      </w:pPr>
      <w:r>
        <w:t>3. Economics, Affordability, and Resource Consequences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311"/>
            <w:shd w:fill="7A2334"/>
            <w:vAlign w:val="center"/>
          </w:tcPr>
          <w:p>
            <w:pPr>
              <w:jc w:val="center"/>
            </w:pPr>
            <w:r/>
            <w:r>
              <w:rPr>
                <w:b/>
                <w:color w:val="FFFFFF"/>
                <w:sz w:val="16"/>
              </w:rPr>
              <w:t>Element</w:t>
            </w:r>
          </w:p>
        </w:tc>
        <w:tc>
          <w:tcPr>
            <w:tcW w:type="dxa" w:w="7056"/>
            <w:shd w:fill="7A2334"/>
            <w:vAlign w:val="center"/>
          </w:tcPr>
          <w:p>
            <w:pPr>
              <w:jc w:val="center"/>
            </w:pPr>
            <w:r/>
            <w:r>
              <w:rPr>
                <w:b/>
                <w:color w:val="FFFFFF"/>
                <w:sz w:val="16"/>
              </w:rPr>
              <w:t>Response</w:t>
            </w:r>
          </w:p>
        </w:tc>
      </w:tr>
      <w:tr>
        <w:tc>
          <w:tcPr>
            <w:tcW w:type="dxa" w:w="3311"/>
            <w:vAlign w:val="center"/>
          </w:tcPr>
          <w:p>
            <w:pPr>
              <w:jc w:val="left"/>
            </w:pPr>
            <w:r/>
            <w:r>
              <w:rPr>
                <w:b w:val="0"/>
                <w:sz w:val="16"/>
              </w:rPr>
              <w:t>Perspective and budget holder</w:t>
            </w:r>
          </w:p>
        </w:tc>
        <w:tc>
          <w:tcPr>
            <w:tcW w:type="dxa" w:w="7056"/>
            <w:vAlign w:val="center"/>
          </w:tcPr>
          <w:p>
            <w:pPr>
              <w:jc w:val="left"/>
            </w:pPr>
            <w:r/>
            <w:r>
              <w:rPr>
                <w:b w:val="0"/>
                <w:sz w:val="16"/>
              </w:rPr>
            </w:r>
          </w:p>
        </w:tc>
      </w:tr>
      <w:tr>
        <w:tc>
          <w:tcPr>
            <w:tcW w:type="dxa" w:w="3311"/>
            <w:vAlign w:val="center"/>
          </w:tcPr>
          <w:p>
            <w:pPr>
              <w:jc w:val="left"/>
            </w:pPr>
            <w:r/>
            <w:r>
              <w:rPr>
                <w:b w:val="0"/>
                <w:sz w:val="16"/>
              </w:rPr>
              <w:t>Lifecycle cost boundary</w:t>
            </w:r>
          </w:p>
        </w:tc>
        <w:tc>
          <w:tcPr>
            <w:tcW w:type="dxa" w:w="7056"/>
            <w:vAlign w:val="center"/>
          </w:tcPr>
          <w:p>
            <w:pPr>
              <w:jc w:val="left"/>
            </w:pPr>
            <w:r/>
            <w:r>
              <w:rPr>
                <w:b w:val="0"/>
                <w:sz w:val="16"/>
              </w:rPr>
            </w:r>
          </w:p>
        </w:tc>
      </w:tr>
      <w:tr>
        <w:tc>
          <w:tcPr>
            <w:tcW w:type="dxa" w:w="3311"/>
            <w:vAlign w:val="center"/>
          </w:tcPr>
          <w:p>
            <w:pPr>
              <w:jc w:val="left"/>
            </w:pPr>
            <w:r/>
            <w:r>
              <w:rPr>
                <w:b w:val="0"/>
                <w:sz w:val="16"/>
              </w:rPr>
              <w:t>Outcome and benefit mechanisms</w:t>
            </w:r>
          </w:p>
        </w:tc>
        <w:tc>
          <w:tcPr>
            <w:tcW w:type="dxa" w:w="7056"/>
            <w:vAlign w:val="center"/>
          </w:tcPr>
          <w:p>
            <w:pPr>
              <w:jc w:val="left"/>
            </w:pPr>
            <w:r/>
            <w:r>
              <w:rPr>
                <w:b w:val="0"/>
                <w:sz w:val="16"/>
              </w:rPr>
            </w:r>
          </w:p>
        </w:tc>
      </w:tr>
      <w:tr>
        <w:tc>
          <w:tcPr>
            <w:tcW w:type="dxa" w:w="3311"/>
            <w:vAlign w:val="center"/>
          </w:tcPr>
          <w:p>
            <w:pPr>
              <w:jc w:val="left"/>
            </w:pPr>
            <w:r/>
            <w:r>
              <w:rPr>
                <w:b w:val="0"/>
                <w:sz w:val="16"/>
              </w:rPr>
              <w:t>Budget impact and affordability</w:t>
            </w:r>
          </w:p>
        </w:tc>
        <w:tc>
          <w:tcPr>
            <w:tcW w:type="dxa" w:w="7056"/>
            <w:vAlign w:val="center"/>
          </w:tcPr>
          <w:p>
            <w:pPr>
              <w:jc w:val="left"/>
            </w:pPr>
            <w:r/>
            <w:r>
              <w:rPr>
                <w:b w:val="0"/>
                <w:sz w:val="16"/>
              </w:rPr>
            </w:r>
          </w:p>
        </w:tc>
      </w:tr>
      <w:tr>
        <w:tc>
          <w:tcPr>
            <w:tcW w:type="dxa" w:w="3311"/>
            <w:vAlign w:val="center"/>
          </w:tcPr>
          <w:p>
            <w:pPr>
              <w:jc w:val="left"/>
            </w:pPr>
            <w:r/>
            <w:r>
              <w:rPr>
                <w:b w:val="0"/>
                <w:sz w:val="16"/>
              </w:rPr>
              <w:t>Opportunity cost and uncertainty</w:t>
            </w:r>
          </w:p>
        </w:tc>
        <w:tc>
          <w:tcPr>
            <w:tcW w:type="dxa" w:w="7056"/>
            <w:vAlign w:val="center"/>
          </w:tcPr>
          <w:p>
            <w:pPr>
              <w:jc w:val="left"/>
            </w:pPr>
            <w:r/>
            <w:r>
              <w:rPr>
                <w:b w:val="0"/>
                <w:sz w:val="16"/>
              </w:rPr>
            </w:r>
          </w:p>
        </w:tc>
      </w:tr>
    </w:tbl>
    <w:p>
      <w:pPr>
        <w:pStyle w:val="Heading1"/>
      </w:pPr>
      <w:r>
        <w:t>4. Governance, Distribution, and Institutional Risk</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311"/>
            <w:shd w:fill="7A2334"/>
            <w:vAlign w:val="center"/>
          </w:tcPr>
          <w:p>
            <w:pPr>
              <w:jc w:val="center"/>
            </w:pPr>
            <w:r/>
            <w:r>
              <w:rPr>
                <w:b/>
                <w:color w:val="FFFFFF"/>
                <w:sz w:val="16"/>
              </w:rPr>
              <w:t>Element</w:t>
            </w:r>
          </w:p>
        </w:tc>
        <w:tc>
          <w:tcPr>
            <w:tcW w:type="dxa" w:w="7056"/>
            <w:shd w:fill="7A2334"/>
            <w:vAlign w:val="center"/>
          </w:tcPr>
          <w:p>
            <w:pPr>
              <w:jc w:val="center"/>
            </w:pPr>
            <w:r/>
            <w:r>
              <w:rPr>
                <w:b/>
                <w:color w:val="FFFFFF"/>
                <w:sz w:val="16"/>
              </w:rPr>
              <w:t>Response</w:t>
            </w:r>
          </w:p>
        </w:tc>
      </w:tr>
      <w:tr>
        <w:tc>
          <w:tcPr>
            <w:tcW w:type="dxa" w:w="3311"/>
            <w:vAlign w:val="center"/>
          </w:tcPr>
          <w:p>
            <w:pPr>
              <w:jc w:val="left"/>
            </w:pPr>
            <w:r/>
            <w:r>
              <w:rPr>
                <w:b w:val="0"/>
                <w:sz w:val="16"/>
              </w:rPr>
              <w:t>Accountable roles and oversight</w:t>
            </w:r>
          </w:p>
        </w:tc>
        <w:tc>
          <w:tcPr>
            <w:tcW w:type="dxa" w:w="7056"/>
            <w:vAlign w:val="center"/>
          </w:tcPr>
          <w:p>
            <w:pPr>
              <w:jc w:val="left"/>
            </w:pPr>
            <w:r/>
            <w:r>
              <w:rPr>
                <w:b w:val="0"/>
                <w:sz w:val="16"/>
              </w:rPr>
            </w:r>
          </w:p>
        </w:tc>
      </w:tr>
      <w:tr>
        <w:tc>
          <w:tcPr>
            <w:tcW w:type="dxa" w:w="3311"/>
            <w:vAlign w:val="center"/>
          </w:tcPr>
          <w:p>
            <w:pPr>
              <w:jc w:val="left"/>
            </w:pPr>
            <w:r/>
            <w:r>
              <w:rPr>
                <w:b w:val="0"/>
                <w:sz w:val="16"/>
              </w:rPr>
              <w:t>Safety and quality safeguards</w:t>
            </w:r>
          </w:p>
        </w:tc>
        <w:tc>
          <w:tcPr>
            <w:tcW w:type="dxa" w:w="7056"/>
            <w:vAlign w:val="center"/>
          </w:tcPr>
          <w:p>
            <w:pPr>
              <w:jc w:val="left"/>
            </w:pPr>
            <w:r/>
            <w:r>
              <w:rPr>
                <w:b w:val="0"/>
                <w:sz w:val="16"/>
              </w:rPr>
            </w:r>
          </w:p>
        </w:tc>
      </w:tr>
      <w:tr>
        <w:tc>
          <w:tcPr>
            <w:tcW w:type="dxa" w:w="3311"/>
            <w:vAlign w:val="center"/>
          </w:tcPr>
          <w:p>
            <w:pPr>
              <w:jc w:val="left"/>
            </w:pPr>
            <w:r/>
            <w:r>
              <w:rPr>
                <w:b w:val="0"/>
                <w:sz w:val="16"/>
              </w:rPr>
              <w:t>Equity and inclusion</w:t>
            </w:r>
          </w:p>
        </w:tc>
        <w:tc>
          <w:tcPr>
            <w:tcW w:type="dxa" w:w="7056"/>
            <w:vAlign w:val="center"/>
          </w:tcPr>
          <w:p>
            <w:pPr>
              <w:jc w:val="left"/>
            </w:pPr>
            <w:r/>
            <w:r>
              <w:rPr>
                <w:b w:val="0"/>
                <w:sz w:val="16"/>
              </w:rPr>
            </w:r>
          </w:p>
        </w:tc>
      </w:tr>
      <w:tr>
        <w:tc>
          <w:tcPr>
            <w:tcW w:type="dxa" w:w="3311"/>
            <w:vAlign w:val="center"/>
          </w:tcPr>
          <w:p>
            <w:pPr>
              <w:jc w:val="left"/>
            </w:pPr>
            <w:r/>
            <w:r>
              <w:rPr>
                <w:b w:val="0"/>
                <w:sz w:val="16"/>
              </w:rPr>
              <w:t>Privacy, cybersecurity, and resilience</w:t>
            </w:r>
          </w:p>
        </w:tc>
        <w:tc>
          <w:tcPr>
            <w:tcW w:type="dxa" w:w="7056"/>
            <w:vAlign w:val="center"/>
          </w:tcPr>
          <w:p>
            <w:pPr>
              <w:jc w:val="left"/>
            </w:pPr>
            <w:r/>
            <w:r>
              <w:rPr>
                <w:b w:val="0"/>
                <w:sz w:val="16"/>
              </w:rPr>
            </w:r>
          </w:p>
        </w:tc>
      </w:tr>
      <w:tr>
        <w:tc>
          <w:tcPr>
            <w:tcW w:type="dxa" w:w="3311"/>
            <w:vAlign w:val="center"/>
          </w:tcPr>
          <w:p>
            <w:pPr>
              <w:jc w:val="left"/>
            </w:pPr>
            <w:r/>
            <w:r>
              <w:rPr>
                <w:b w:val="0"/>
                <w:sz w:val="16"/>
              </w:rPr>
              <w:t>Transparency, contestability, and trust</w:t>
            </w:r>
          </w:p>
        </w:tc>
        <w:tc>
          <w:tcPr>
            <w:tcW w:type="dxa" w:w="7056"/>
            <w:vAlign w:val="center"/>
          </w:tcPr>
          <w:p>
            <w:pPr>
              <w:jc w:val="left"/>
            </w:pPr>
            <w:r/>
            <w:r>
              <w:rPr>
                <w:b w:val="0"/>
                <w:sz w:val="16"/>
              </w:rPr>
            </w:r>
          </w:p>
        </w:tc>
      </w:tr>
    </w:tbl>
    <w:p>
      <w:pPr>
        <w:pStyle w:val="Heading1"/>
      </w:pPr>
      <w:r>
        <w:t>5. Lifecycle Recommendation</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311"/>
            <w:shd w:fill="7A2334"/>
            <w:vAlign w:val="center"/>
          </w:tcPr>
          <w:p>
            <w:pPr>
              <w:jc w:val="center"/>
            </w:pPr>
            <w:r/>
            <w:r>
              <w:rPr>
                <w:b/>
                <w:color w:val="FFFFFF"/>
                <w:sz w:val="16"/>
              </w:rPr>
              <w:t>Element</w:t>
            </w:r>
          </w:p>
        </w:tc>
        <w:tc>
          <w:tcPr>
            <w:tcW w:type="dxa" w:w="7056"/>
            <w:shd w:fill="7A2334"/>
            <w:vAlign w:val="center"/>
          </w:tcPr>
          <w:p>
            <w:pPr>
              <w:jc w:val="center"/>
            </w:pPr>
            <w:r/>
            <w:r>
              <w:rPr>
                <w:b/>
                <w:color w:val="FFFFFF"/>
                <w:sz w:val="16"/>
              </w:rPr>
              <w:t>Response</w:t>
            </w:r>
          </w:p>
        </w:tc>
      </w:tr>
      <w:tr>
        <w:tc>
          <w:tcPr>
            <w:tcW w:type="dxa" w:w="3311"/>
            <w:vAlign w:val="center"/>
          </w:tcPr>
          <w:p>
            <w:pPr>
              <w:jc w:val="left"/>
            </w:pPr>
            <w:r/>
            <w:r>
              <w:rPr>
                <w:b w:val="0"/>
                <w:sz w:val="16"/>
              </w:rPr>
              <w:t>Recommended decision</w:t>
            </w:r>
          </w:p>
        </w:tc>
        <w:tc>
          <w:tcPr>
            <w:tcW w:type="dxa" w:w="7056"/>
            <w:vAlign w:val="center"/>
          </w:tcPr>
          <w:p>
            <w:pPr>
              <w:jc w:val="left"/>
            </w:pPr>
            <w:r/>
            <w:r>
              <w:rPr>
                <w:b w:val="0"/>
                <w:sz w:val="16"/>
              </w:rPr>
            </w:r>
          </w:p>
        </w:tc>
      </w:tr>
      <w:tr>
        <w:tc>
          <w:tcPr>
            <w:tcW w:type="dxa" w:w="3311"/>
            <w:vAlign w:val="center"/>
          </w:tcPr>
          <w:p>
            <w:pPr>
              <w:jc w:val="left"/>
            </w:pPr>
            <w:r/>
            <w:r>
              <w:rPr>
                <w:b w:val="0"/>
                <w:sz w:val="16"/>
              </w:rPr>
              <w:t>Evidence and confidence</w:t>
            </w:r>
          </w:p>
        </w:tc>
        <w:tc>
          <w:tcPr>
            <w:tcW w:type="dxa" w:w="7056"/>
            <w:vAlign w:val="center"/>
          </w:tcPr>
          <w:p>
            <w:pPr>
              <w:jc w:val="left"/>
            </w:pPr>
            <w:r/>
            <w:r>
              <w:rPr>
                <w:b w:val="0"/>
                <w:sz w:val="16"/>
              </w:rPr>
            </w:r>
          </w:p>
        </w:tc>
      </w:tr>
      <w:tr>
        <w:tc>
          <w:tcPr>
            <w:tcW w:type="dxa" w:w="3311"/>
            <w:vAlign w:val="center"/>
          </w:tcPr>
          <w:p>
            <w:pPr>
              <w:jc w:val="left"/>
            </w:pPr>
            <w:r/>
            <w:r>
              <w:rPr>
                <w:b w:val="0"/>
                <w:sz w:val="16"/>
              </w:rPr>
              <w:t>Mandatory conditions and owners</w:t>
            </w:r>
          </w:p>
        </w:tc>
        <w:tc>
          <w:tcPr>
            <w:tcW w:type="dxa" w:w="7056"/>
            <w:vAlign w:val="center"/>
          </w:tcPr>
          <w:p>
            <w:pPr>
              <w:jc w:val="left"/>
            </w:pPr>
            <w:r/>
            <w:r>
              <w:rPr>
                <w:b w:val="0"/>
                <w:sz w:val="16"/>
              </w:rPr>
            </w:r>
          </w:p>
        </w:tc>
      </w:tr>
      <w:tr>
        <w:tc>
          <w:tcPr>
            <w:tcW w:type="dxa" w:w="3311"/>
            <w:vAlign w:val="center"/>
          </w:tcPr>
          <w:p>
            <w:pPr>
              <w:jc w:val="left"/>
            </w:pPr>
            <w:r/>
            <w:r>
              <w:rPr>
                <w:b w:val="0"/>
                <w:sz w:val="16"/>
              </w:rPr>
              <w:t>Monitoring thresholds and review date</w:t>
            </w:r>
          </w:p>
        </w:tc>
        <w:tc>
          <w:tcPr>
            <w:tcW w:type="dxa" w:w="7056"/>
            <w:vAlign w:val="center"/>
          </w:tcPr>
          <w:p>
            <w:pPr>
              <w:jc w:val="left"/>
            </w:pPr>
            <w:r/>
            <w:r>
              <w:rPr>
                <w:b w:val="0"/>
                <w:sz w:val="16"/>
              </w:rPr>
            </w:r>
          </w:p>
        </w:tc>
      </w:tr>
      <w:tr>
        <w:tc>
          <w:tcPr>
            <w:tcW w:type="dxa" w:w="3311"/>
            <w:vAlign w:val="center"/>
          </w:tcPr>
          <w:p>
            <w:pPr>
              <w:jc w:val="left"/>
            </w:pPr>
            <w:r/>
            <w:r>
              <w:rPr>
                <w:b w:val="0"/>
                <w:sz w:val="16"/>
              </w:rPr>
              <w:t>Fallback, renewal, or exit pathway</w:t>
            </w:r>
          </w:p>
        </w:tc>
        <w:tc>
          <w:tcPr>
            <w:tcW w:type="dxa" w:w="7056"/>
            <w:vAlign w:val="center"/>
          </w:tcPr>
          <w:p>
            <w:pPr>
              <w:jc w:val="left"/>
            </w:pPr>
            <w:r/>
            <w:r>
              <w:rPr>
                <w:b w:val="0"/>
                <w:sz w:val="16"/>
              </w:rPr>
            </w:r>
          </w:p>
        </w:tc>
      </w:tr>
    </w:tbl>
    <w:p>
      <w:pPr>
        <w:pStyle w:val="Heading1"/>
      </w:pPr>
      <w:r>
        <w:t>Final Decision Statement</w:t>
      </w:r>
    </w:p>
    <w:p>
      <w:r>
        <w:t>Write a concise decision statement explaining why the selected option is preferable to realistic alternatives, which uncertainty remains, what must happen before dependence increases, and who has authority to continue, change, or stop the intervention.</w:t>
      </w:r>
    </w:p>
    <w:tbl>
      <w:tblPr>
        <w:tblStyle w:val="TableGrid"/>
        <w:tblW w:type="auto" w:w="0"/>
        <w:jc w:val="center"/>
        <w:tblLook w:firstColumn="1" w:firstRow="1" w:lastColumn="0" w:lastRow="0" w:noHBand="0" w:noVBand="1" w:val="04A0"/>
      </w:tblPr>
      <w:tblGrid>
        <w:gridCol w:w="10080"/>
      </w:tblGrid>
      <w:tr>
        <w:tc>
          <w:tcPr>
            <w:tcW w:type="dxa" w:w="10080"/>
            <w:shd w:fill="EDE3E6"/>
            <w:vAlign w:val="center"/>
          </w:tcPr>
          <w:p>
            <w:pPr>
              <w:jc w:val="left"/>
            </w:pPr>
            <w:r/>
            <w:r>
              <w:rPr>
                <w:b/>
                <w:color w:val="4B1722"/>
                <w:sz w:val="18"/>
              </w:rPr>
              <w:t>Decision statement</w:t>
            </w:r>
          </w:p>
        </w:tc>
      </w:tr>
      <w:tr>
        <w:tc>
          <w:tcPr>
            <w:tcW w:type="dxa" w:w="10080"/>
          </w:tcPr>
          <w:p/>
        </w:tc>
      </w:tr>
      <w:tr>
        <w:tc>
          <w:tcPr>
            <w:tcW w:type="dxa" w:w="10080"/>
          </w:tcPr>
          <w:p/>
        </w:tc>
      </w:tr>
      <w:tr>
        <w:tc>
          <w:tcPr>
            <w:tcW w:type="dxa" w:w="10080"/>
          </w:tcPr>
          <w:p/>
        </w:tc>
      </w:tr>
      <w:tr>
        <w:tc>
          <w:tcPr>
            <w:tcW w:type="dxa" w:w="10080"/>
          </w:tcP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V1.0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Common Case-Analysis Method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A233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B17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7A233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7A233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i/>
      <w:iCs/>
      <w:color w:val="4B1722"/>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Artificial Intelligence and Healthcare Economics: Digital Resource Companion</dc:title>
  <dc:subject>Institutional templates, worked examples, analytics, and publication resources</dc:subject>
  <dc:creator/>
  <ns0:keywords/>
  <dc:description>V1.0</dc:description>
  <ns0:lastModifiedBy/>
  <ns0:revision>1</ns0:revision>
  <ns2:created xsi:type="dcterms:W3CDTF">2013-12-23T23:15:00Z</ns2:created>
  <ns2:modified xsi:type="dcterms:W3CDTF">2013-12-23T23:15:00Z</ns2:modified>
  <ns0:category/>
</ns0:coreProperties>
</file>