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Framework Status and Selection Guide</w:t>
      </w:r>
    </w:p>
    <w:p>
      <w:pPr>
        <w:jc w:val="center"/>
      </w:pPr>
      <w:r>
        <w:rPr>
          <w:b/>
          <w:color w:val="7A2334"/>
        </w:rPr>
        <w:t>AIHE-RG01</w:t>
      </w:r>
    </w:p>
    <w:p>
      <w:pPr>
        <w:spacing w:after="40"/>
      </w:pPr>
      <w:r>
        <w:rPr>
          <w:b/>
        </w:rPr>
        <w:t xml:space="preserve">Primary chapter: </w:t>
      </w:r>
      <w:r>
        <w:t>12 — Decision Architecture and Lifecycle Governance</w:t>
      </w:r>
    </w:p>
    <w:p>
      <w:pPr>
        <w:spacing w:after="40"/>
      </w:pPr>
      <w:r>
        <w:rPr>
          <w:b/>
        </w:rPr>
        <w:t xml:space="preserve">Additional chapter alignment: </w:t>
      </w:r>
      <w:r>
        <w:t>2, 4, 5, 7, 9-12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Distinguish legal instruments, standards, guidance, reporting guidelines, appraisal tools, implementation frameworks, and author-developed decision aids; select them according to function and authority.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Instrument or family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Primary function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Appropriate use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Important limit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Jurisdiction or setting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Version or date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694"/>
            <w:shd w:fill="7A2334"/>
          </w:tcPr>
          <w:p>
            <w:r>
              <w:rPr>
                <w:b/>
                <w:color w:val="FFFFFF"/>
                <w:sz w:val="15"/>
              </w:rPr>
              <w:t>Next review</w:t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 AI Act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Risk-based legal governance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Determine applicable duties and implementation controls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establish clinical effectiveness or cost-effectiveness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consolidated text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European Health Data Space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 with phased implementation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Health-data access, exchange, secondary use and interoperability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Plan transition, governance and evidence infrastructure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make all data uses automatically lawful or appropriate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implementation phase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EU HTA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Binding regulation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Joint clinical assessment context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Coordinate EU clinical evidence with national and local decisions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Does not replace economic, reimbursement or procurement decisions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European Union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scope and transition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ISO/IEC 42001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Voluntary international standard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AI management system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organizational policy, roles, controls and continual improvement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Conformity does not prove local clinical benefit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2023 edition unless superseded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NIST AI RMF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Voluntary framework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Govern, Map, Measure and Manage risk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generic AI risk-management work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healthcare-specific law or approval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/ United States origin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1.0 (2023) unless superseded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TRIPOD+AI / STARD-AI / DECIDE-AI / SPIRIT-AI / CONSORT-AI / CHEERS-AI / PRISMA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Reporting guidelines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Transparent study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Select by study design and evidence stage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Checklist adherence does not establish low bias or validity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research reporting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extension and correction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PROBAST+AI / GRADE-CERQual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Appraisal approaches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Risk of bias, applicability, or confidence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Critically assess prediction or qualitative synthesis evidence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regulatory or institutional approval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evidence appraisal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guidance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CFIR / NASSS-CAT / RE-AIM-PRISM / TAM-UTAUT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Implementation frameworks and theories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Determinants, complexity, outcomes, sustainability, or acceptance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Match framework to implementation question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a complete AI safety, economic, or governance system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Global implementation research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Verify current framework version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  <w:tr>
        <w:tc>
          <w:tcPr>
            <w:tcW w:type="dxa" w:w="1694"/>
            <w:vAlign w:val="top"/>
            <w:shd w:fill="F2E8EB"/>
          </w:tcPr>
          <w:p>
            <w:r>
              <w:rPr>
                <w:sz w:val="14"/>
              </w:rPr>
              <w:t>AI-HEVG and related book frameworks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Proposed author-developed decision aids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Integrated institutional decision support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Structure deliberation and documentation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Not externally standardized or validated instruments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Book-specific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  <w:t>Current companion version</w:t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694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AIHE-RG01 | V1.0 | Verify current sources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AIHE-RG01 guide and template</dc:title>
  <dc:creator/>
  <ns0:lastModifiedBy/>
  <ns2:created xsi:type="dcterms:W3CDTF">2026-08-06T00:00:00Z</ns2:created>
  <ns2:modified xsi:type="dcterms:W3CDTF">2026-08-06T00:00:00Z</ns2:modified>
</ns0:coreProperties>
</file>