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Reporting and Appraisal Tool Selection Guide</w:t>
      </w:r>
    </w:p>
    <w:p>
      <w:pPr>
        <w:jc w:val="center"/>
      </w:pPr>
      <w:r>
        <w:rPr>
          <w:b/>
          <w:color w:val="7A2334"/>
        </w:rPr>
        <w:t>AIHE-RG02</w:t>
      </w:r>
    </w:p>
    <w:p>
      <w:pPr>
        <w:spacing w:after="40"/>
      </w:pPr>
      <w:r>
        <w:rPr>
          <w:b/>
        </w:rPr>
        <w:t xml:space="preserve">Primary chapter: </w:t>
      </w:r>
      <w:r>
        <w:t>11 — Evidence, Validation, and Real-World Evaluation</w:t>
      </w:r>
    </w:p>
    <w:p>
      <w:pPr>
        <w:spacing w:after="40"/>
      </w:pPr>
      <w:r>
        <w:rPr>
          <w:b/>
        </w:rPr>
        <w:t xml:space="preserve">Additional chapter alignment: </w:t>
      </w:r>
      <w:r>
        <w:t>7, 8, 11</w:t>
      </w:r>
    </w:p>
    <w:p>
      <w:pPr>
        <w:spacing w:after="40"/>
      </w:pPr>
      <w:r>
        <w:rPr>
          <w:b/>
        </w:rPr>
        <w:t xml:space="preserve">Version: </w:t>
      </w:r>
      <w:r>
        <w:t>V1.0</w:t>
      </w:r>
    </w:p>
    <w:p>
      <w:pPr>
        <w:pStyle w:val="Heading1"/>
      </w:pPr>
      <w:r>
        <w:t>Purpose</w:t>
      </w:r>
    </w:p>
    <w:p>
      <w:r>
        <w:t>Match evidence type and study stage to current reporting and appraisal instruments without treating checklist completion as proof of validity, effectiveness, or regulatory conformity.</w:t>
      </w:r>
    </w:p>
    <w:p>
      <w:pPr>
        <w:pStyle w:val="Heading1"/>
      </w:pPr>
      <w:r>
        <w:t>Instructions</w:t>
      </w:r>
    </w:p>
    <w:p>
      <w:pPr>
        <w:pStyle w:val="ListBullet"/>
      </w:pPr>
      <w:r>
        <w:t>Define the decision question before selecting an instrument or framework.</w:t>
      </w:r>
    </w:p>
    <w:p>
      <w:pPr>
        <w:pStyle w:val="ListBullet"/>
      </w:pPr>
      <w:r>
        <w:t>Verify the exact edition, publication date, jurisdiction, scope, and status of external sources.</w:t>
      </w:r>
    </w:p>
    <w:p>
      <w:pPr>
        <w:pStyle w:val="ListBullet"/>
      </w:pPr>
      <w:r>
        <w:t>Record local evidence, judgement, ownership, gaps, and the resulting decision.</w:t>
      </w:r>
    </w:p>
    <w:p>
      <w:pPr>
        <w:pStyle w:val="ListBullet"/>
      </w:pPr>
      <w:r>
        <w:t>Review and update the record when law, standards, policy, evidence, or institutional context changes.</w:t>
      </w:r>
    </w:p>
    <w:p>
      <w:pPr>
        <w:pStyle w:val="Heading1"/>
      </w:pPr>
      <w:r>
        <w:t>Editable register or checklist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94"/>
        <w:gridCol w:w="1694"/>
        <w:gridCol w:w="1694"/>
        <w:gridCol w:w="1694"/>
        <w:gridCol w:w="1694"/>
        <w:gridCol w:w="1694"/>
        <w:gridCol w:w="1694"/>
        <w:gridCol w:w="1694"/>
        <w:gridCol w:w="1694"/>
      </w:tblGrid>
      <w:tr>
        <w:trPr>
          <w:tblHeader w:val="true"/>
        </w:trPr>
        <w:tc>
          <w:tcPr>
            <w:tcW w:type="dxa" w:w="1694"/>
            <w:shd w:fill="7A2334"/>
          </w:tcPr>
          <w:p>
            <w:r>
              <w:rPr>
                <w:b/>
                <w:color w:val="FFFFFF"/>
                <w:sz w:val="15"/>
              </w:rPr>
              <w:t>Evidence or study type</w:t>
            </w:r>
          </w:p>
        </w:tc>
        <w:tc>
          <w:tcPr>
            <w:tcW w:type="dxa" w:w="1694"/>
            <w:shd w:fill="7A2334"/>
          </w:tcPr>
          <w:p>
            <w:r>
              <w:rPr>
                <w:b/>
                <w:color w:val="FFFFFF"/>
                <w:sz w:val="15"/>
              </w:rPr>
              <w:t>Reporting instrument</w:t>
            </w:r>
          </w:p>
        </w:tc>
        <w:tc>
          <w:tcPr>
            <w:tcW w:type="dxa" w:w="1694"/>
            <w:shd w:fill="7A2334"/>
          </w:tcPr>
          <w:p>
            <w:r>
              <w:rPr>
                <w:b/>
                <w:color w:val="FFFFFF"/>
                <w:sz w:val="15"/>
              </w:rPr>
              <w:t>Appraisal or complementary approach</w:t>
            </w:r>
          </w:p>
        </w:tc>
        <w:tc>
          <w:tcPr>
            <w:tcW w:type="dxa" w:w="1694"/>
            <w:shd w:fill="7A2334"/>
          </w:tcPr>
          <w:p>
            <w:r>
              <w:rPr>
                <w:b/>
                <w:color w:val="FFFFFF"/>
                <w:sz w:val="15"/>
              </w:rPr>
              <w:t>Status</w:t>
            </w:r>
          </w:p>
        </w:tc>
        <w:tc>
          <w:tcPr>
            <w:tcW w:type="dxa" w:w="1694"/>
            <w:shd w:fill="7A2334"/>
          </w:tcPr>
          <w:p>
            <w:r>
              <w:rPr>
                <w:b/>
                <w:color w:val="FFFFFF"/>
                <w:sz w:val="15"/>
              </w:rPr>
              <w:t>What it supports</w:t>
            </w:r>
          </w:p>
        </w:tc>
        <w:tc>
          <w:tcPr>
            <w:tcW w:type="dxa" w:w="1694"/>
            <w:shd w:fill="7A2334"/>
          </w:tcPr>
          <w:p>
            <w:r>
              <w:rPr>
                <w:b/>
                <w:color w:val="FFFFFF"/>
                <w:sz w:val="15"/>
              </w:rPr>
              <w:t>What it does not establish</w:t>
            </w:r>
          </w:p>
        </w:tc>
        <w:tc>
          <w:tcPr>
            <w:tcW w:type="dxa" w:w="1694"/>
            <w:shd w:fill="7A2334"/>
          </w:tcPr>
          <w:p>
            <w:r>
              <w:rPr>
                <w:b/>
                <w:color w:val="FFFFFF"/>
                <w:sz w:val="15"/>
              </w:rPr>
              <w:t>Version checked</w:t>
            </w:r>
          </w:p>
        </w:tc>
        <w:tc>
          <w:tcPr>
            <w:tcW w:type="dxa" w:w="1694"/>
            <w:shd w:fill="7A2334"/>
          </w:tcPr>
          <w:p>
            <w:r>
              <w:rPr>
                <w:b/>
                <w:color w:val="FFFFFF"/>
                <w:sz w:val="15"/>
              </w:rPr>
              <w:t>Reviewer</w:t>
            </w:r>
          </w:p>
        </w:tc>
        <w:tc>
          <w:tcPr>
            <w:tcW w:type="dxa" w:w="1694"/>
            <w:shd w:fill="7A2334"/>
          </w:tcPr>
          <w:p>
            <w:r>
              <w:rPr>
                <w:b/>
                <w:color w:val="FFFFFF"/>
                <w:sz w:val="15"/>
              </w:rPr>
              <w:t>Local evidence gap</w:t>
            </w:r>
          </w:p>
        </w:tc>
      </w:tr>
      <w:tr>
        <w:tc>
          <w:tcPr>
            <w:tcW w:type="dxa" w:w="1694"/>
            <w:vAlign w:val="top"/>
            <w:shd w:fill="F2E8EB"/>
          </w:tcPr>
          <w:p>
            <w:r>
              <w:rPr>
                <w:sz w:val="14"/>
              </w:rPr>
              <w:t>Prediction model development or validation</w:t>
            </w:r>
          </w:p>
        </w:tc>
        <w:tc>
          <w:tcPr>
            <w:tcW w:type="dxa" w:w="1694"/>
            <w:vAlign w:val="top"/>
          </w:tcPr>
          <w:p>
            <w:r>
              <w:rPr>
                <w:sz w:val="14"/>
              </w:rPr>
              <w:t>TRIPOD+AI</w:t>
            </w:r>
          </w:p>
        </w:tc>
        <w:tc>
          <w:tcPr>
            <w:tcW w:type="dxa" w:w="1694"/>
            <w:vAlign w:val="top"/>
          </w:tcPr>
          <w:p>
            <w:r>
              <w:rPr>
                <w:sz w:val="14"/>
              </w:rPr>
              <w:t>PROBAST+AI</w:t>
            </w:r>
          </w:p>
        </w:tc>
        <w:tc>
          <w:tcPr>
            <w:tcW w:type="dxa" w:w="1694"/>
            <w:vAlign w:val="top"/>
          </w:tcPr>
          <w:p>
            <w:r>
              <w:rPr>
                <w:sz w:val="14"/>
              </w:rPr>
              <w:t>Published AI-updated instruments</w:t>
            </w:r>
          </w:p>
        </w:tc>
        <w:tc>
          <w:tcPr>
            <w:tcW w:type="dxa" w:w="1694"/>
            <w:vAlign w:val="top"/>
          </w:tcPr>
          <w:p>
            <w:r>
              <w:rPr>
                <w:sz w:val="14"/>
              </w:rPr>
              <w:t>Transparent reporting and risk-of-bias/applicability assessment</w:t>
            </w:r>
          </w:p>
        </w:tc>
        <w:tc>
          <w:tcPr>
            <w:tcW w:type="dxa" w:w="1694"/>
            <w:vAlign w:val="top"/>
          </w:tcPr>
          <w:p>
            <w:r>
              <w:rPr>
                <w:sz w:val="14"/>
              </w:rPr>
              <w:t>Local usefulness or adoption</w:t>
            </w:r>
          </w:p>
        </w:tc>
        <w:tc>
          <w:tcPr>
            <w:tcW w:type="dxa" w:w="1694"/>
            <w:vAlign w:val="top"/>
          </w:tcPr>
          <w:p>
            <w:r>
              <w:rPr>
                <w:sz w:val="14"/>
              </w:rPr>
            </w:r>
          </w:p>
        </w:tc>
        <w:tc>
          <w:tcPr>
            <w:tcW w:type="dxa" w:w="1694"/>
            <w:vAlign w:val="top"/>
          </w:tcPr>
          <w:p>
            <w:r>
              <w:rPr>
                <w:sz w:val="14"/>
              </w:rPr>
            </w:r>
          </w:p>
        </w:tc>
        <w:tc>
          <w:tcPr>
            <w:tcW w:type="dxa" w:w="1694"/>
            <w:vAlign w:val="top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1694"/>
            <w:vAlign w:val="top"/>
            <w:shd w:fill="F2E8EB"/>
          </w:tcPr>
          <w:p>
            <w:r>
              <w:rPr>
                <w:sz w:val="14"/>
              </w:rPr>
              <w:t>Diagnostic accuracy</w:t>
            </w:r>
          </w:p>
        </w:tc>
        <w:tc>
          <w:tcPr>
            <w:tcW w:type="dxa" w:w="1694"/>
            <w:vAlign w:val="top"/>
          </w:tcPr>
          <w:p>
            <w:r>
              <w:rPr>
                <w:sz w:val="14"/>
              </w:rPr>
              <w:t>STARD-AI</w:t>
            </w:r>
          </w:p>
        </w:tc>
        <w:tc>
          <w:tcPr>
            <w:tcW w:type="dxa" w:w="1694"/>
            <w:vAlign w:val="top"/>
          </w:tcPr>
          <w:p>
            <w:r>
              <w:rPr>
                <w:sz w:val="14"/>
              </w:rPr>
              <w:t>Reference-standard and applicability appraisal</w:t>
            </w:r>
          </w:p>
        </w:tc>
        <w:tc>
          <w:tcPr>
            <w:tcW w:type="dxa" w:w="1694"/>
            <w:vAlign w:val="top"/>
          </w:tcPr>
          <w:p>
            <w:r>
              <w:rPr>
                <w:sz w:val="14"/>
              </w:rPr>
              <w:t>Published AI-specific reporting guideline</w:t>
            </w:r>
          </w:p>
        </w:tc>
        <w:tc>
          <w:tcPr>
            <w:tcW w:type="dxa" w:w="1694"/>
            <w:vAlign w:val="top"/>
          </w:tcPr>
          <w:p>
            <w:r>
              <w:rPr>
                <w:sz w:val="14"/>
              </w:rPr>
              <w:t>Transparent diagnostic AI reporting</w:t>
            </w:r>
          </w:p>
        </w:tc>
        <w:tc>
          <w:tcPr>
            <w:tcW w:type="dxa" w:w="1694"/>
            <w:vAlign w:val="top"/>
          </w:tcPr>
          <w:p>
            <w:r>
              <w:rPr>
                <w:sz w:val="14"/>
              </w:rPr>
              <w:t>Regulatory conformity or clinical utility</w:t>
            </w:r>
          </w:p>
        </w:tc>
        <w:tc>
          <w:tcPr>
            <w:tcW w:type="dxa" w:w="1694"/>
            <w:vAlign w:val="top"/>
          </w:tcPr>
          <w:p>
            <w:r>
              <w:rPr>
                <w:sz w:val="14"/>
              </w:rPr>
            </w:r>
          </w:p>
        </w:tc>
        <w:tc>
          <w:tcPr>
            <w:tcW w:type="dxa" w:w="1694"/>
            <w:vAlign w:val="top"/>
          </w:tcPr>
          <w:p>
            <w:r>
              <w:rPr>
                <w:sz w:val="14"/>
              </w:rPr>
            </w:r>
          </w:p>
        </w:tc>
        <w:tc>
          <w:tcPr>
            <w:tcW w:type="dxa" w:w="1694"/>
            <w:vAlign w:val="top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1694"/>
            <w:vAlign w:val="top"/>
            <w:shd w:fill="F2E8EB"/>
          </w:tcPr>
          <w:p>
            <w:r>
              <w:rPr>
                <w:sz w:val="14"/>
              </w:rPr>
              <w:t>Early live clinical evaluation</w:t>
            </w:r>
          </w:p>
        </w:tc>
        <w:tc>
          <w:tcPr>
            <w:tcW w:type="dxa" w:w="1694"/>
            <w:vAlign w:val="top"/>
          </w:tcPr>
          <w:p>
            <w:r>
              <w:rPr>
                <w:sz w:val="14"/>
              </w:rPr>
              <w:t>DECIDE-AI</w:t>
            </w:r>
          </w:p>
        </w:tc>
        <w:tc>
          <w:tcPr>
            <w:tcW w:type="dxa" w:w="1694"/>
            <w:vAlign w:val="top"/>
          </w:tcPr>
          <w:p>
            <w:r>
              <w:rPr>
                <w:sz w:val="14"/>
              </w:rPr>
              <w:t>Local safety, workflow, human-factors and economic review</w:t>
            </w:r>
          </w:p>
        </w:tc>
        <w:tc>
          <w:tcPr>
            <w:tcW w:type="dxa" w:w="1694"/>
            <w:vAlign w:val="top"/>
          </w:tcPr>
          <w:p>
            <w:r>
              <w:rPr>
                <w:sz w:val="14"/>
              </w:rPr>
              <w:t>Published reporting guideline</w:t>
            </w:r>
          </w:p>
        </w:tc>
        <w:tc>
          <w:tcPr>
            <w:tcW w:type="dxa" w:w="1694"/>
            <w:vAlign w:val="top"/>
          </w:tcPr>
          <w:p>
            <w:r>
              <w:rPr>
                <w:sz w:val="14"/>
              </w:rPr>
              <w:t>Transparent early-stage live evaluation</w:t>
            </w:r>
          </w:p>
        </w:tc>
        <w:tc>
          <w:tcPr>
            <w:tcW w:type="dxa" w:w="1694"/>
            <w:vAlign w:val="top"/>
          </w:tcPr>
          <w:p>
            <w:r>
              <w:rPr>
                <w:sz w:val="14"/>
              </w:rPr>
              <w:t>Approval for unrestricted deployment</w:t>
            </w:r>
          </w:p>
        </w:tc>
        <w:tc>
          <w:tcPr>
            <w:tcW w:type="dxa" w:w="1694"/>
            <w:vAlign w:val="top"/>
          </w:tcPr>
          <w:p>
            <w:r>
              <w:rPr>
                <w:sz w:val="14"/>
              </w:rPr>
            </w:r>
          </w:p>
        </w:tc>
        <w:tc>
          <w:tcPr>
            <w:tcW w:type="dxa" w:w="1694"/>
            <w:vAlign w:val="top"/>
          </w:tcPr>
          <w:p>
            <w:r>
              <w:rPr>
                <w:sz w:val="14"/>
              </w:rPr>
            </w:r>
          </w:p>
        </w:tc>
        <w:tc>
          <w:tcPr>
            <w:tcW w:type="dxa" w:w="1694"/>
            <w:vAlign w:val="top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1694"/>
            <w:vAlign w:val="top"/>
            <w:shd w:fill="F2E8EB"/>
          </w:tcPr>
          <w:p>
            <w:r>
              <w:rPr>
                <w:sz w:val="14"/>
              </w:rPr>
              <w:t>Trial protocol</w:t>
            </w:r>
          </w:p>
        </w:tc>
        <w:tc>
          <w:tcPr>
            <w:tcW w:type="dxa" w:w="1694"/>
            <w:vAlign w:val="top"/>
          </w:tcPr>
          <w:p>
            <w:r>
              <w:rPr>
                <w:sz w:val="14"/>
              </w:rPr>
              <w:t>SPIRIT-AI</w:t>
            </w:r>
          </w:p>
        </w:tc>
        <w:tc>
          <w:tcPr>
            <w:tcW w:type="dxa" w:w="1694"/>
            <w:vAlign w:val="top"/>
          </w:tcPr>
          <w:p>
            <w:r>
              <w:rPr>
                <w:sz w:val="14"/>
              </w:rPr>
              <w:t>Protocol feasibility and intervention review</w:t>
            </w:r>
          </w:p>
        </w:tc>
        <w:tc>
          <w:tcPr>
            <w:tcW w:type="dxa" w:w="1694"/>
            <w:vAlign w:val="top"/>
          </w:tcPr>
          <w:p>
            <w:r>
              <w:rPr>
                <w:sz w:val="14"/>
              </w:rPr>
              <w:t>Published consensus extension</w:t>
            </w:r>
          </w:p>
        </w:tc>
        <w:tc>
          <w:tcPr>
            <w:tcW w:type="dxa" w:w="1694"/>
            <w:vAlign w:val="top"/>
          </w:tcPr>
          <w:p>
            <w:r>
              <w:rPr>
                <w:sz w:val="14"/>
              </w:rPr>
              <w:t>Complete AI trial protocol reporting</w:t>
            </w:r>
          </w:p>
        </w:tc>
        <w:tc>
          <w:tcPr>
            <w:tcW w:type="dxa" w:w="1694"/>
            <w:vAlign w:val="top"/>
          </w:tcPr>
          <w:p>
            <w:r>
              <w:rPr>
                <w:sz w:val="14"/>
              </w:rPr>
              <w:t>Trial quality or successful implementation</w:t>
            </w:r>
          </w:p>
        </w:tc>
        <w:tc>
          <w:tcPr>
            <w:tcW w:type="dxa" w:w="1694"/>
            <w:vAlign w:val="top"/>
          </w:tcPr>
          <w:p>
            <w:r>
              <w:rPr>
                <w:sz w:val="14"/>
              </w:rPr>
            </w:r>
          </w:p>
        </w:tc>
        <w:tc>
          <w:tcPr>
            <w:tcW w:type="dxa" w:w="1694"/>
            <w:vAlign w:val="top"/>
          </w:tcPr>
          <w:p>
            <w:r>
              <w:rPr>
                <w:sz w:val="14"/>
              </w:rPr>
            </w:r>
          </w:p>
        </w:tc>
        <w:tc>
          <w:tcPr>
            <w:tcW w:type="dxa" w:w="1694"/>
            <w:vAlign w:val="top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1694"/>
            <w:vAlign w:val="top"/>
            <w:shd w:fill="F2E8EB"/>
          </w:tcPr>
          <w:p>
            <w:r>
              <w:rPr>
                <w:sz w:val="14"/>
              </w:rPr>
              <w:t>Trial results</w:t>
            </w:r>
          </w:p>
        </w:tc>
        <w:tc>
          <w:tcPr>
            <w:tcW w:type="dxa" w:w="1694"/>
            <w:vAlign w:val="top"/>
          </w:tcPr>
          <w:p>
            <w:r>
              <w:rPr>
                <w:sz w:val="14"/>
              </w:rPr>
              <w:t>CONSORT-AI</w:t>
            </w:r>
          </w:p>
        </w:tc>
        <w:tc>
          <w:tcPr>
            <w:tcW w:type="dxa" w:w="1694"/>
            <w:vAlign w:val="top"/>
          </w:tcPr>
          <w:p>
            <w:r>
              <w:rPr>
                <w:sz w:val="14"/>
              </w:rPr>
              <w:t>Risk-of-bias, applicability and economic appraisal</w:t>
            </w:r>
          </w:p>
        </w:tc>
        <w:tc>
          <w:tcPr>
            <w:tcW w:type="dxa" w:w="1694"/>
            <w:vAlign w:val="top"/>
          </w:tcPr>
          <w:p>
            <w:r>
              <w:rPr>
                <w:sz w:val="14"/>
              </w:rPr>
              <w:t>Published consensus extension</w:t>
            </w:r>
          </w:p>
        </w:tc>
        <w:tc>
          <w:tcPr>
            <w:tcW w:type="dxa" w:w="1694"/>
            <w:vAlign w:val="top"/>
          </w:tcPr>
          <w:p>
            <w:r>
              <w:rPr>
                <w:sz w:val="14"/>
              </w:rPr>
              <w:t>Complete AI trial reporting</w:t>
            </w:r>
          </w:p>
        </w:tc>
        <w:tc>
          <w:tcPr>
            <w:tcW w:type="dxa" w:w="1694"/>
            <w:vAlign w:val="top"/>
          </w:tcPr>
          <w:p>
            <w:r>
              <w:rPr>
                <w:sz w:val="14"/>
              </w:rPr>
              <w:t>Cost-effectiveness or local transferability</w:t>
            </w:r>
          </w:p>
        </w:tc>
        <w:tc>
          <w:tcPr>
            <w:tcW w:type="dxa" w:w="1694"/>
            <w:vAlign w:val="top"/>
          </w:tcPr>
          <w:p>
            <w:r>
              <w:rPr>
                <w:sz w:val="14"/>
              </w:rPr>
            </w:r>
          </w:p>
        </w:tc>
        <w:tc>
          <w:tcPr>
            <w:tcW w:type="dxa" w:w="1694"/>
            <w:vAlign w:val="top"/>
          </w:tcPr>
          <w:p>
            <w:r>
              <w:rPr>
                <w:sz w:val="14"/>
              </w:rPr>
            </w:r>
          </w:p>
        </w:tc>
        <w:tc>
          <w:tcPr>
            <w:tcW w:type="dxa" w:w="1694"/>
            <w:vAlign w:val="top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1694"/>
            <w:vAlign w:val="top"/>
            <w:shd w:fill="F2E8EB"/>
          </w:tcPr>
          <w:p>
            <w:r>
              <w:rPr>
                <w:sz w:val="14"/>
              </w:rPr>
              <w:t>Economic evaluation</w:t>
            </w:r>
          </w:p>
        </w:tc>
        <w:tc>
          <w:tcPr>
            <w:tcW w:type="dxa" w:w="1694"/>
            <w:vAlign w:val="top"/>
          </w:tcPr>
          <w:p>
            <w:r>
              <w:rPr>
                <w:sz w:val="14"/>
              </w:rPr>
              <w:t>CHEERS 2022 / CHEERS-AI</w:t>
            </w:r>
          </w:p>
        </w:tc>
        <w:tc>
          <w:tcPr>
            <w:tcW w:type="dxa" w:w="1694"/>
            <w:vAlign w:val="top"/>
          </w:tcPr>
          <w:p>
            <w:r>
              <w:rPr>
                <w:sz w:val="14"/>
              </w:rPr>
              <w:t>Method, model validation and uncertainty appraisal</w:t>
            </w:r>
          </w:p>
        </w:tc>
        <w:tc>
          <w:tcPr>
            <w:tcW w:type="dxa" w:w="1694"/>
            <w:vAlign w:val="top"/>
          </w:tcPr>
          <w:p>
            <w:r>
              <w:rPr>
                <w:sz w:val="14"/>
              </w:rPr>
              <w:t>Published reporting guidance</w:t>
            </w:r>
          </w:p>
        </w:tc>
        <w:tc>
          <w:tcPr>
            <w:tcW w:type="dxa" w:w="1694"/>
            <w:vAlign w:val="top"/>
          </w:tcPr>
          <w:p>
            <w:r>
              <w:rPr>
                <w:sz w:val="14"/>
              </w:rPr>
              <w:t>Transparent economic reporting</w:t>
            </w:r>
          </w:p>
        </w:tc>
        <w:tc>
          <w:tcPr>
            <w:tcW w:type="dxa" w:w="1694"/>
            <w:vAlign w:val="top"/>
          </w:tcPr>
          <w:p>
            <w:r>
              <w:rPr>
                <w:sz w:val="14"/>
              </w:rPr>
              <w:t>Methodological appropriateness by itself</w:t>
            </w:r>
          </w:p>
        </w:tc>
        <w:tc>
          <w:tcPr>
            <w:tcW w:type="dxa" w:w="1694"/>
            <w:vAlign w:val="top"/>
          </w:tcPr>
          <w:p>
            <w:r>
              <w:rPr>
                <w:sz w:val="14"/>
              </w:rPr>
            </w:r>
          </w:p>
        </w:tc>
        <w:tc>
          <w:tcPr>
            <w:tcW w:type="dxa" w:w="1694"/>
            <w:vAlign w:val="top"/>
          </w:tcPr>
          <w:p>
            <w:r>
              <w:rPr>
                <w:sz w:val="14"/>
              </w:rPr>
            </w:r>
          </w:p>
        </w:tc>
        <w:tc>
          <w:tcPr>
            <w:tcW w:type="dxa" w:w="1694"/>
            <w:vAlign w:val="top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1694"/>
            <w:vAlign w:val="top"/>
            <w:shd w:fill="F2E8EB"/>
          </w:tcPr>
          <w:p>
            <w:r>
              <w:rPr>
                <w:sz w:val="14"/>
              </w:rPr>
              <w:t>Systematic review</w:t>
            </w:r>
          </w:p>
        </w:tc>
        <w:tc>
          <w:tcPr>
            <w:tcW w:type="dxa" w:w="1694"/>
            <w:vAlign w:val="top"/>
          </w:tcPr>
          <w:p>
            <w:r>
              <w:rPr>
                <w:sz w:val="14"/>
              </w:rPr>
              <w:t>PRISMA 2020</w:t>
            </w:r>
          </w:p>
        </w:tc>
        <w:tc>
          <w:tcPr>
            <w:tcW w:type="dxa" w:w="1694"/>
            <w:vAlign w:val="top"/>
          </w:tcPr>
          <w:p>
            <w:r>
              <w:rPr>
                <w:sz w:val="14"/>
              </w:rPr>
              <w:t>Design-specific bias and certainty appraisal</w:t>
            </w:r>
          </w:p>
        </w:tc>
        <w:tc>
          <w:tcPr>
            <w:tcW w:type="dxa" w:w="1694"/>
            <w:vAlign w:val="top"/>
          </w:tcPr>
          <w:p>
            <w:r>
              <w:rPr>
                <w:sz w:val="14"/>
              </w:rPr>
              <w:t>Published reporting guideline</w:t>
            </w:r>
          </w:p>
        </w:tc>
        <w:tc>
          <w:tcPr>
            <w:tcW w:type="dxa" w:w="1694"/>
            <w:vAlign w:val="top"/>
          </w:tcPr>
          <w:p>
            <w:r>
              <w:rPr>
                <w:sz w:val="14"/>
              </w:rPr>
              <w:t>Transparent review reporting</w:t>
            </w:r>
          </w:p>
        </w:tc>
        <w:tc>
          <w:tcPr>
            <w:tcW w:type="dxa" w:w="1694"/>
            <w:vAlign w:val="top"/>
          </w:tcPr>
          <w:p>
            <w:r>
              <w:rPr>
                <w:sz w:val="14"/>
              </w:rPr>
              <w:t>Reliability of included evidence by itself</w:t>
            </w:r>
          </w:p>
        </w:tc>
        <w:tc>
          <w:tcPr>
            <w:tcW w:type="dxa" w:w="1694"/>
            <w:vAlign w:val="top"/>
          </w:tcPr>
          <w:p>
            <w:r>
              <w:rPr>
                <w:sz w:val="14"/>
              </w:rPr>
            </w:r>
          </w:p>
        </w:tc>
        <w:tc>
          <w:tcPr>
            <w:tcW w:type="dxa" w:w="1694"/>
            <w:vAlign w:val="top"/>
          </w:tcPr>
          <w:p>
            <w:r>
              <w:rPr>
                <w:sz w:val="14"/>
              </w:rPr>
            </w:r>
          </w:p>
        </w:tc>
        <w:tc>
          <w:tcPr>
            <w:tcW w:type="dxa" w:w="1694"/>
            <w:vAlign w:val="top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1694"/>
            <w:vAlign w:val="top"/>
            <w:shd w:fill="F2E8EB"/>
          </w:tcPr>
          <w:p>
            <w:r>
              <w:rPr>
                <w:sz w:val="14"/>
              </w:rPr>
              <w:t>Qualitative evidence synthesis</w:t>
            </w:r>
          </w:p>
        </w:tc>
        <w:tc>
          <w:tcPr>
            <w:tcW w:type="dxa" w:w="1694"/>
            <w:vAlign w:val="top"/>
          </w:tcPr>
          <w:p>
            <w:r>
              <w:rPr>
                <w:sz w:val="14"/>
              </w:rPr>
              <w:t>Review-specific reporting guidance</w:t>
            </w:r>
          </w:p>
        </w:tc>
        <w:tc>
          <w:tcPr>
            <w:tcW w:type="dxa" w:w="1694"/>
            <w:vAlign w:val="top"/>
          </w:tcPr>
          <w:p>
            <w:r>
              <w:rPr>
                <w:sz w:val="14"/>
              </w:rPr>
              <w:t>GRADE-CERQual</w:t>
            </w:r>
          </w:p>
        </w:tc>
        <w:tc>
          <w:tcPr>
            <w:tcW w:type="dxa" w:w="1694"/>
            <w:vAlign w:val="top"/>
          </w:tcPr>
          <w:p>
            <w:r>
              <w:rPr>
                <w:sz w:val="14"/>
              </w:rPr>
              <w:t>Established confidence-appraisal approach</w:t>
            </w:r>
          </w:p>
        </w:tc>
        <w:tc>
          <w:tcPr>
            <w:tcW w:type="dxa" w:w="1694"/>
            <w:vAlign w:val="top"/>
          </w:tcPr>
          <w:p>
            <w:r>
              <w:rPr>
                <w:sz w:val="14"/>
              </w:rPr>
              <w:t>Transparent confidence judgements</w:t>
            </w:r>
          </w:p>
        </w:tc>
        <w:tc>
          <w:tcPr>
            <w:tcW w:type="dxa" w:w="1694"/>
            <w:vAlign w:val="top"/>
          </w:tcPr>
          <w:p>
            <w:r>
              <w:rPr>
                <w:sz w:val="14"/>
              </w:rPr>
              <w:t>Quantitative effect size or causal proof</w:t>
            </w:r>
          </w:p>
        </w:tc>
        <w:tc>
          <w:tcPr>
            <w:tcW w:type="dxa" w:w="1694"/>
            <w:vAlign w:val="top"/>
          </w:tcPr>
          <w:p>
            <w:r>
              <w:rPr>
                <w:sz w:val="14"/>
              </w:rPr>
            </w:r>
          </w:p>
        </w:tc>
        <w:tc>
          <w:tcPr>
            <w:tcW w:type="dxa" w:w="1694"/>
            <w:vAlign w:val="top"/>
          </w:tcPr>
          <w:p>
            <w:r>
              <w:rPr>
                <w:sz w:val="14"/>
              </w:rPr>
            </w:r>
          </w:p>
        </w:tc>
        <w:tc>
          <w:tcPr>
            <w:tcW w:type="dxa" w:w="1694"/>
            <w:vAlign w:val="top"/>
          </w:tcPr>
          <w:p>
            <w:r>
              <w:rPr>
                <w:sz w:val="14"/>
              </w:rPr>
            </w:r>
          </w:p>
        </w:tc>
      </w:tr>
    </w:tbl>
    <w:sectPr w:rsidR="00FC693F" w:rsidRPr="0006063C" w:rsidSect="00034616">
      <w:footerReference w:type="default" r:id="rId9"/>
      <w:pgSz w:w="16834" w:h="11909" w:orient="landscape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AIHE-RG02 | V1.0 | Verify current sources before use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ns0:Properties xmlns:ns0="http://schemas.openxmlformats.org/officeDocument/2006/extended-properties" xmlns:ns1="http://schemas.openxmlformats.org/officeDocument/2006/docPropsVTypes">
  <ns0:Template>Normal.dotm</ns0:Template>
  <ns0:TotalTime>0</ns0:TotalTime>
  <ns0:Pages>1</ns0:Pages>
  <ns0:Words>0</ns0:Words>
  <ns0:Characters>0</ns0:Characters>
  <ns0:Application>Office document</ns0:Application>
  <ns0:DocSecurity>0</ns0:DocSecurity>
  <ns0:Lines>0</ns0:Lines>
  <ns0:Paragraphs>0</ns0:Paragraphs>
  <ns0:ScaleCrop>false</ns0:ScaleCrop>
  <ns0:HeadingPairs>
    <ns1:vector size="2" baseType="variant">
      <ns1:variant>
        <ns1:lpstr>Title</ns1:lpstr>
      </ns1:variant>
      <ns1:variant>
        <ns1:i4>1</ns1:i4>
      </ns1:variant>
    </ns1:vector>
  </ns0:HeadingPairs>
  <ns0:TitlesOfParts>
    <ns1:vector size="1" baseType="lpstr">
      <ns1:lpstr/>
    </ns1:vector>
  </ns0:TitlesOfParts>
  <ns0:Manager/>
  <ns0:Company/>
  <ns0:LinksUpToDate>false</ns0:LinksUpToDate>
  <ns0:CharactersWithSpaces>0</ns0:CharactersWithSpaces>
  <ns0:SharedDoc>false</ns0:SharedDoc>
  <ns0:HyperlinkBase/>
  <ns0:HyperlinksChanged>false</ns0:HyperlinksChanged>
  <ns0:AppVersion/>
</ns0:Properties>
</file>

<file path=docProps/core.xml><?xml version="1.0" encoding="utf-8"?>
<ns0:coreProperties xmlns:dc="http://purl.org/dc/elements/1.1/" xmlns:ns0="http://schemas.openxmlformats.org/package/2006/metadata/core-properties" xmlns:ns2="http://purl.org/dc/terms/" xmlns:xsi="http://www.w3.org/2001/XMLSchema-instance">
  <dc:title>AIHE-RG02 guide and template</dc:title>
  <dc:creator/>
  <ns0:lastModifiedBy/>
  <ns2:created xsi:type="dcterms:W3CDTF">2026-08-06T00:00:00Z</ns2:created>
  <ns2:modified xsi:type="dcterms:W3CDTF">2026-08-06T00:00:00Z</ns2:modified>
</ns0:coreProperties>
</file>