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Framework Selection Guide</w:t>
      </w:r>
    </w:p>
    <w:p>
      <w:pPr>
        <w:jc w:val="center"/>
      </w:pPr>
      <w:r>
        <w:rPr>
          <w:b/>
          <w:color w:val="7A2334"/>
        </w:rPr>
        <w:t>AIHE-RG03</w:t>
      </w:r>
    </w:p>
    <w:p>
      <w:pPr>
        <w:spacing w:after="40"/>
      </w:pPr>
      <w:r>
        <w:rPr>
          <w:b/>
        </w:rPr>
        <w:t xml:space="preserve">Primary chapter: </w:t>
      </w:r>
      <w:r>
        <w:t>4 — Productivity, Workforce Redesign, and Implementation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4, 11, 12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Select CFIR, NASSS-CAT, RE-AIM/PRISM, TAM/UTAUT, and mixed-method approaches according to the implementation question rather than name recognition.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blHeader w:val="true"/>
        </w:trPr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Implementation question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Candidate framework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Best use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Key constructs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Main limitation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Planned timing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Measure or data source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Decision triggered</w:t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Multilevel determinants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Updated CFIR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determinant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Barrier and facilitator assessment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Innovation, outer setting, inner setting, individuals, process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Not an outcome, economics or AI assurance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Technology complexity, abandonment, scale and sustainment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NASSS / NASSS-CAT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framework and assessment tool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Complexity and sustainability analysis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Condition, technology, value proposition, adopters, organization, context,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Requires separate clinical and economic evidence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Implementation outcomes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RE-AIM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outcome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Reach, effectiveness, adoption, implementation and maintenance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Five RE-AIM dimensions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Causal interpretation and measure validity still required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Context and sustainability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PRISM / RE-AIM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implementation and sustainability model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Link context, implementation, outcomes and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Intervention, recipients, implementation/sustainability infrastructure, external environment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Not AI-specific governance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Individual acceptance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TAM / UTAUT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acceptance theories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Usefulness, effort, social influence, facilitating conditions and intention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Acceptance constructs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Acceptance does not equal safe or effective use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Complex intervention development and evaluation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MRC guidance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guidance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Programme theory, context, evaluation, implementation and economics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Complex-intervention phases and uncertainties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Needs AI lifecycle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AIHE-RG03 | V1.0 | Verify current sources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AIHE-RG03 guide and template</dc:title>
  <dc:creator/>
  <ns0:lastModifiedBy/>
  <ns2:created xsi:type="dcterms:W3CDTF">2026-08-06T00:00:00Z</ns2:created>
  <ns2:modified xsi:type="dcterms:W3CDTF">2026-08-06T00:00:00Z</ns2:modified>
</ns0:coreProperties>
</file>