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Diagnostic and Predictive Evidence Appraisal Checklist</w:t>
      </w:r>
    </w:p>
    <w:p>
      <w:pPr>
        <w:jc w:val="center"/>
      </w:pPr>
      <w:r>
        <w:rPr>
          <w:b/>
          <w:color w:val="7A2334"/>
        </w:rPr>
        <w:t>AIHE-RG06</w:t>
      </w:r>
    </w:p>
    <w:p>
      <w:pPr>
        <w:spacing w:after="40"/>
      </w:pPr>
      <w:r>
        <w:rPr>
          <w:b/>
        </w:rPr>
        <w:t xml:space="preserve">Primary chapter: </w:t>
      </w:r>
      <w:r>
        <w:t>11 — Evidence, Validation, and Real-World Evaluation</w:t>
      </w:r>
    </w:p>
    <w:p>
      <w:pPr>
        <w:spacing w:after="40"/>
      </w:pPr>
      <w:r>
        <w:rPr>
          <w:b/>
        </w:rPr>
        <w:t xml:space="preserve">Additional chapter alignment: </w:t>
      </w:r>
      <w:r>
        <w:t>3, 7, 8, 11</w:t>
      </w:r>
    </w:p>
    <w:p>
      <w:pPr>
        <w:spacing w:after="40"/>
      </w:pPr>
      <w:r>
        <w:rPr>
          <w:b/>
        </w:rPr>
        <w:t xml:space="preserve">Version: </w:t>
      </w:r>
      <w:r>
        <w:t>V1.0</w:t>
      </w:r>
    </w:p>
    <w:p>
      <w:pPr>
        <w:pStyle w:val="Heading1"/>
      </w:pPr>
      <w:r>
        <w:t>Purpose</w:t>
      </w:r>
    </w:p>
    <w:p>
      <w:r>
        <w:t>Appraise reference standards, index tests, data partitions, calibration, diagnostic accuracy, bias, subgroup performance, clinical utility, and downstream resource consequences.</w:t>
      </w:r>
    </w:p>
    <w:p>
      <w:pPr>
        <w:pStyle w:val="Heading1"/>
      </w:pPr>
      <w:r>
        <w:t>Instructions</w:t>
      </w:r>
    </w:p>
    <w:p>
      <w:pPr>
        <w:pStyle w:val="ListBullet"/>
      </w:pPr>
      <w:r>
        <w:t>Define the decision question before selecting an instrument or framework.</w:t>
      </w:r>
    </w:p>
    <w:p>
      <w:pPr>
        <w:pStyle w:val="ListBullet"/>
      </w:pPr>
      <w:r>
        <w:t>Verify the exact edition, publication date, jurisdiction, scope, and status of external sources.</w:t>
      </w:r>
    </w:p>
    <w:p>
      <w:pPr>
        <w:pStyle w:val="ListBullet"/>
      </w:pPr>
      <w:r>
        <w:t>Record local evidence, judgement, ownership, gaps, and the resulting decision.</w:t>
      </w:r>
    </w:p>
    <w:p>
      <w:pPr>
        <w:pStyle w:val="ListBullet"/>
      </w:pPr>
      <w:r>
        <w:t>Review and update the record when law, standards, policy, evidence, or institutional context changes.</w:t>
      </w:r>
    </w:p>
    <w:p>
      <w:pPr>
        <w:pStyle w:val="Heading1"/>
      </w:pPr>
      <w:r>
        <w:t>Editable register or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6"/>
        <w:gridCol w:w="1906"/>
        <w:gridCol w:w="1906"/>
        <w:gridCol w:w="1906"/>
        <w:gridCol w:w="1906"/>
        <w:gridCol w:w="1906"/>
        <w:gridCol w:w="1906"/>
        <w:gridCol w:w="1906"/>
      </w:tblGrid>
      <w:tr>
        <w:trPr>
          <w:tblHeader w:val="true"/>
        </w:trPr>
        <w:tc>
          <w:tcPr>
            <w:tcW w:type="dxa" w:w="1906"/>
            <w:shd w:fill="7A2334"/>
          </w:tcPr>
          <w:p>
            <w:r>
              <w:rPr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1906"/>
            <w:shd w:fill="7A2334"/>
          </w:tcPr>
          <w:p>
            <w:r>
              <w:rPr>
                <w:b/>
                <w:color w:val="FFFFFF"/>
                <w:sz w:val="15"/>
              </w:rPr>
              <w:t>Appraisal question</w:t>
            </w:r>
          </w:p>
        </w:tc>
        <w:tc>
          <w:tcPr>
            <w:tcW w:type="dxa" w:w="1906"/>
            <w:shd w:fill="7A2334"/>
          </w:tcPr>
          <w:p>
            <w:r>
              <w:rPr>
                <w:b/>
                <w:color w:val="FFFFFF"/>
                <w:sz w:val="15"/>
              </w:rPr>
              <w:t>Evidence reviewed</w:t>
            </w:r>
          </w:p>
        </w:tc>
        <w:tc>
          <w:tcPr>
            <w:tcW w:type="dxa" w:w="1906"/>
            <w:shd w:fill="7A2334"/>
          </w:tcPr>
          <w:p>
            <w:r>
              <w:rPr>
                <w:b/>
                <w:color w:val="FFFFFF"/>
                <w:sz w:val="15"/>
              </w:rPr>
              <w:t>Judgement</w:t>
            </w:r>
          </w:p>
        </w:tc>
        <w:tc>
          <w:tcPr>
            <w:tcW w:type="dxa" w:w="1906"/>
            <w:shd w:fill="7A2334"/>
          </w:tcPr>
          <w:p>
            <w:r>
              <w:rPr>
                <w:b/>
                <w:color w:val="FFFFFF"/>
                <w:sz w:val="15"/>
              </w:rPr>
              <w:t>Material uncertainty</w:t>
            </w:r>
          </w:p>
        </w:tc>
        <w:tc>
          <w:tcPr>
            <w:tcW w:type="dxa" w:w="1906"/>
            <w:shd w:fill="7A2334"/>
          </w:tcPr>
          <w:p>
            <w:r>
              <w:rPr>
                <w:b/>
                <w:color w:val="FFFFFF"/>
                <w:sz w:val="15"/>
              </w:rPr>
              <w:t>Required local evidence or safeguard</w:t>
            </w:r>
          </w:p>
        </w:tc>
        <w:tc>
          <w:tcPr>
            <w:tcW w:type="dxa" w:w="1906"/>
            <w:shd w:fill="7A2334"/>
          </w:tcPr>
          <w:p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906"/>
            <w:shd w:fill="7A2334"/>
          </w:tcPr>
          <w:p>
            <w:r>
              <w:rPr>
                <w:b/>
                <w:color w:val="FFFFFF"/>
                <w:sz w:val="15"/>
              </w:rPr>
              <w:t>Decision consequence</w:t>
            </w:r>
          </w:p>
        </w:tc>
      </w:tr>
      <w:tr>
        <w:tc>
          <w:tcPr>
            <w:tcW w:type="dxa" w:w="1906"/>
            <w:vAlign w:val="top"/>
            <w:shd w:fill="F2E8EB"/>
          </w:tcPr>
          <w:p>
            <w:r>
              <w:rPr>
                <w:sz w:val="14"/>
              </w:rPr>
              <w:t>Intended use and pathway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  <w:t>Is the decision, user, population, timing, action and comparator explicit?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906"/>
            <w:vAlign w:val="top"/>
            <w:shd w:fill="F2E8EB"/>
          </w:tcPr>
          <w:p>
            <w:r>
              <w:rPr>
                <w:sz w:val="14"/>
              </w:rPr>
              <w:t>Dataset construction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  <w:t>Are selection, exclusions, missingness, partitions and leakage addressed?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906"/>
            <w:vAlign w:val="top"/>
            <w:shd w:fill="F2E8EB"/>
          </w:tcPr>
          <w:p>
            <w:r>
              <w:rPr>
                <w:sz w:val="14"/>
              </w:rPr>
              <w:t>Model or index test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  <w:t>Is the exact version, preprocessing, threshold and output defined?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906"/>
            <w:vAlign w:val="top"/>
            <w:shd w:fill="F2E8EB"/>
          </w:tcPr>
          <w:p>
            <w:r>
              <w:rPr>
                <w:sz w:val="14"/>
              </w:rPr>
              <w:t>Reference standard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  <w:t>Is it appropriate, independent, consistent and blinded where feasible?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906"/>
            <w:vAlign w:val="top"/>
            <w:shd w:fill="F2E8EB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  <w:t>Are task-appropriate metrics and uncertainty reported?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906"/>
            <w:vAlign w:val="top"/>
            <w:shd w:fill="F2E8EB"/>
          </w:tcPr>
          <w:p>
            <w:r>
              <w:rPr>
                <w:sz w:val="14"/>
              </w:rPr>
              <w:t>Calibration and thresholds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  <w:t>Are calibration and threshold-specific consequences evaluated?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906"/>
            <w:vAlign w:val="top"/>
            <w:shd w:fill="F2E8EB"/>
          </w:tcPr>
          <w:p>
            <w:r>
              <w:rPr>
                <w:sz w:val="14"/>
              </w:rPr>
              <w:t>Transportability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  <w:t>Does the evidence represent the intended local context?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906"/>
            <w:vAlign w:val="top"/>
            <w:shd w:fill="F2E8EB"/>
          </w:tcPr>
          <w:p>
            <w:r>
              <w:rPr>
                <w:sz w:val="14"/>
              </w:rPr>
              <w:t>Subgroups and equity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  <w:t>Are performance, access and consequences assessed across relevant groups?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906"/>
            <w:vAlign w:val="top"/>
            <w:shd w:fill="F2E8EB"/>
          </w:tcPr>
          <w:p>
            <w:r>
              <w:rPr>
                <w:sz w:val="14"/>
              </w:rPr>
              <w:t>Human-AI performance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  <w:t>Are acceptance, override, review burden and error correction measured?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906"/>
            <w:vAlign w:val="top"/>
            <w:shd w:fill="F2E8EB"/>
          </w:tcPr>
          <w:p>
            <w:r>
              <w:rPr>
                <w:sz w:val="14"/>
              </w:rPr>
              <w:t>Clinical utility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  <w:t>Does the system improve decisions or outcomes versus realistic alternatives?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906"/>
            <w:vAlign w:val="top"/>
            <w:shd w:fill="F2E8EB"/>
          </w:tcPr>
          <w:p>
            <w:r>
              <w:rPr>
                <w:sz w:val="14"/>
              </w:rPr>
              <w:t>Economic consequences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  <w:t>Are downstream resource, cost and budget consequences included?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906"/>
            <w:vAlign w:val="top"/>
            <w:shd w:fill="F2E8EB"/>
          </w:tcPr>
          <w:p>
            <w:r>
              <w:rPr>
                <w:sz w:val="14"/>
              </w:rPr>
              <w:t>Lifecycle evidence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  <w:t>Are monitoring, drift, update and incident plans credible?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</w:tr>
    </w:tbl>
    <w:sectPr w:rsidR="00FC693F" w:rsidRPr="0006063C" w:rsidSect="00034616">
      <w:footerReference w:type="default" r:id="rId9"/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AIHE-RG06 | V1.0 | Verify current sources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AIHE-RG06 guide and template</dc:title>
  <dc:creator/>
  <ns0:lastModifiedBy/>
  <ns2:created xsi:type="dcterms:W3CDTF">2026-08-06T00:00:00Z</ns2:created>
  <ns2:modified xsi:type="dcterms:W3CDTF">2026-08-06T00:00:00Z</ns2:modified>
</ns0:coreProperties>
</file>