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Decision and Use-Case Specification</w:t>
      </w:r>
    </w:p>
    <w:p>
      <w:pPr>
        <w:jc w:val="center"/>
      </w:pPr>
      <w:r>
        <w:rPr>
          <w:b/>
          <w:color w:val="7A2334"/>
        </w:rPr>
        <w:t>AIHE-A01</w:t>
      </w:r>
    </w:p>
    <w:p>
      <w:pPr>
        <w:spacing w:after="40"/>
      </w:pPr>
      <w:r>
        <w:rPr>
          <w:b/>
        </w:rPr>
        <w:t xml:space="preserve">Primary chapter: </w:t>
      </w:r>
      <w:r>
        <w:t>1 — AI as a Health-System Intervention</w:t>
      </w:r>
    </w:p>
    <w:p>
      <w:pPr>
        <w:spacing w:after="40"/>
      </w:pPr>
      <w:r>
        <w:rPr>
          <w:b/>
        </w:rPr>
        <w:t xml:space="preserve">Additional chapter alignment: </w:t>
      </w:r>
      <w:r>
        <w:t>1, 2, 3</w:t>
      </w:r>
    </w:p>
    <w:p>
      <w:pPr>
        <w:spacing w:after="40"/>
      </w:pPr>
      <w:r>
        <w:rPr>
          <w:b/>
        </w:rPr>
        <w:t xml:space="preserve">Legacy aliases: </w:t>
      </w:r>
      <w:r>
        <w:t>AIHE-W, AIHE-X</w:t>
      </w:r>
    </w:p>
    <w:p>
      <w:pPr>
        <w:spacing w:after="40"/>
      </w:pPr>
      <w:r>
        <w:rPr>
          <w:b/>
        </w:rPr>
        <w:t xml:space="preserve">Version: </w:t>
      </w:r>
      <w:r>
        <w:t>V1.0</w:t>
      </w:r>
    </w:p>
    <w:p>
      <w:pPr>
        <w:pStyle w:val="Heading1"/>
      </w:pPr>
      <w:r>
        <w:t>Purpose</w:t>
      </w:r>
    </w:p>
    <w:p>
      <w:r>
        <w:t>Define the service problem, full intervention, realistic comparators, outcomes, value mechanism, decision rule, and review cycle.</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Service problem and baseline burden</w:t>
            </w:r>
          </w:p>
        </w:tc>
        <w:tc>
          <w:tcPr>
            <w:tcW w:type="dxa" w:w="3360"/>
            <w:vAlign w:val="top"/>
          </w:tcPr>
          <w:p>
            <w:r>
              <w:rPr>
                <w:sz w:val="17"/>
              </w:rPr>
              <w:t>Describe the unmet clinical, operational, workforce, quality, accreditation, or public-health need using measurable baseline evidence.</w:t>
            </w:r>
          </w:p>
        </w:tc>
        <w:tc>
          <w:tcPr>
            <w:tcW w:type="dxa" w:w="3360"/>
            <w:vAlign w:val="top"/>
          </w:tcPr>
          <w:p>
            <w:r>
              <w:rPr>
                <w:sz w:val="17"/>
              </w:rPr>
            </w:r>
          </w:p>
        </w:tc>
      </w:tr>
      <w:tr>
        <w:tc>
          <w:tcPr>
            <w:tcW w:type="dxa" w:w="3360"/>
            <w:vAlign w:val="top"/>
            <w:shd w:fill="F2E8EB"/>
          </w:tcPr>
          <w:p>
            <w:r>
              <w:rPr>
                <w:sz w:val="17"/>
              </w:rPr>
              <w:t>Population and setting</w:t>
            </w:r>
          </w:p>
        </w:tc>
        <w:tc>
          <w:tcPr>
            <w:tcW w:type="dxa" w:w="3360"/>
            <w:vAlign w:val="top"/>
          </w:tcPr>
          <w:p>
            <w:r>
              <w:rPr>
                <w:sz w:val="17"/>
              </w:rPr>
              <w:t>Define included and excluded populations, services, locations, and time periods.</w:t>
            </w:r>
          </w:p>
        </w:tc>
        <w:tc>
          <w:tcPr>
            <w:tcW w:type="dxa" w:w="3360"/>
            <w:vAlign w:val="top"/>
          </w:tcPr>
          <w:p>
            <w:r>
              <w:rPr>
                <w:sz w:val="17"/>
              </w:rPr>
            </w:r>
          </w:p>
        </w:tc>
      </w:tr>
      <w:tr>
        <w:tc>
          <w:tcPr>
            <w:tcW w:type="dxa" w:w="3360"/>
            <w:vAlign w:val="top"/>
            <w:shd w:fill="F2E8EB"/>
          </w:tcPr>
          <w:p>
            <w:r>
              <w:rPr>
                <w:sz w:val="17"/>
              </w:rPr>
              <w:t>AI-enabled intervention</w:t>
            </w:r>
          </w:p>
        </w:tc>
        <w:tc>
          <w:tcPr>
            <w:tcW w:type="dxa" w:w="3360"/>
            <w:vAlign w:val="top"/>
          </w:tcPr>
          <w:p>
            <w:r>
              <w:rPr>
                <w:sz w:val="17"/>
              </w:rPr>
              <w:t>Describe the complete intervention bundle: data, model, interfaces, thresholds, users, review, workflow, downstream action, monitoring, support, and exit.</w:t>
            </w:r>
          </w:p>
        </w:tc>
        <w:tc>
          <w:tcPr>
            <w:tcW w:type="dxa" w:w="3360"/>
            <w:vAlign w:val="top"/>
          </w:tcPr>
          <w:p>
            <w:r>
              <w:rPr>
                <w:sz w:val="17"/>
              </w:rPr>
            </w:r>
          </w:p>
        </w:tc>
      </w:tr>
      <w:tr>
        <w:tc>
          <w:tcPr>
            <w:tcW w:type="dxa" w:w="3360"/>
            <w:vAlign w:val="top"/>
            <w:shd w:fill="F2E8EB"/>
          </w:tcPr>
          <w:p>
            <w:r>
              <w:rPr>
                <w:sz w:val="17"/>
              </w:rPr>
              <w:t>Realistic comparators</w:t>
            </w:r>
          </w:p>
        </w:tc>
        <w:tc>
          <w:tcPr>
            <w:tcW w:type="dxa" w:w="3360"/>
            <w:vAlign w:val="top"/>
          </w:tcPr>
          <w:p>
            <w:r>
              <w:rPr>
                <w:sz w:val="17"/>
              </w:rPr>
              <w:t>Record current practice, process redesign, staffing, equipment, conventional digital tools, alternative AI, shared service, and no-change options where relevant.</w:t>
            </w:r>
          </w:p>
        </w:tc>
        <w:tc>
          <w:tcPr>
            <w:tcW w:type="dxa" w:w="3360"/>
            <w:vAlign w:val="top"/>
          </w:tcPr>
          <w:p>
            <w:r>
              <w:rPr>
                <w:sz w:val="17"/>
              </w:rPr>
            </w:r>
          </w:p>
        </w:tc>
      </w:tr>
      <w:tr>
        <w:tc>
          <w:tcPr>
            <w:tcW w:type="dxa" w:w="3360"/>
            <w:vAlign w:val="top"/>
            <w:shd w:fill="F2E8EB"/>
          </w:tcPr>
          <w:p>
            <w:r>
              <w:rPr>
                <w:sz w:val="17"/>
              </w:rPr>
              <w:t>Decision-maker and perspective</w:t>
            </w:r>
          </w:p>
        </w:tc>
        <w:tc>
          <w:tcPr>
            <w:tcW w:type="dxa" w:w="3360"/>
            <w:vAlign w:val="top"/>
          </w:tcPr>
          <w:p>
            <w:r>
              <w:rPr>
                <w:sz w:val="17"/>
              </w:rPr>
              <w:t>Identify the authority making the decision and the hospital, health-system, payer, patient, societal, or combined perspective.</w:t>
            </w:r>
          </w:p>
        </w:tc>
        <w:tc>
          <w:tcPr>
            <w:tcW w:type="dxa" w:w="3360"/>
            <w:vAlign w:val="top"/>
          </w:tcPr>
          <w:p>
            <w:r>
              <w:rPr>
                <w:sz w:val="17"/>
              </w:rPr>
            </w:r>
          </w:p>
        </w:tc>
      </w:tr>
      <w:tr>
        <w:tc>
          <w:tcPr>
            <w:tcW w:type="dxa" w:w="3360"/>
            <w:vAlign w:val="top"/>
            <w:shd w:fill="F2E8EB"/>
          </w:tcPr>
          <w:p>
            <w:r>
              <w:rPr>
                <w:sz w:val="17"/>
              </w:rPr>
              <w:t>Primary and balancing outcomes</w:t>
            </w:r>
          </w:p>
        </w:tc>
        <w:tc>
          <w:tcPr>
            <w:tcW w:type="dxa" w:w="3360"/>
            <w:vAlign w:val="top"/>
          </w:tcPr>
          <w:p>
            <w:r>
              <w:rPr>
                <w:sz w:val="17"/>
              </w:rPr>
              <w:t>Define clinical, operational, quality, accreditation, workforce, economic, equity, trust, environmental, and safety outcomes.</w:t>
            </w:r>
          </w:p>
        </w:tc>
        <w:tc>
          <w:tcPr>
            <w:tcW w:type="dxa" w:w="3360"/>
            <w:vAlign w:val="top"/>
          </w:tcPr>
          <w:p>
            <w:r>
              <w:rPr>
                <w:sz w:val="17"/>
              </w:rPr>
            </w:r>
          </w:p>
        </w:tc>
      </w:tr>
      <w:tr>
        <w:tc>
          <w:tcPr>
            <w:tcW w:type="dxa" w:w="3360"/>
            <w:vAlign w:val="top"/>
            <w:shd w:fill="F2E8EB"/>
          </w:tcPr>
          <w:p>
            <w:r>
              <w:rPr>
                <w:sz w:val="17"/>
              </w:rPr>
              <w:t>Time horizon and decision window</w:t>
            </w:r>
          </w:p>
        </w:tc>
        <w:tc>
          <w:tcPr>
            <w:tcW w:type="dxa" w:w="3360"/>
            <w:vAlign w:val="top"/>
          </w:tcPr>
          <w:p>
            <w:r>
              <w:rPr>
                <w:sz w:val="17"/>
              </w:rPr>
              <w:t>State the analytic horizon and the time within which an output must lead to action.</w:t>
            </w:r>
          </w:p>
        </w:tc>
        <w:tc>
          <w:tcPr>
            <w:tcW w:type="dxa" w:w="3360"/>
            <w:vAlign w:val="top"/>
          </w:tcPr>
          <w:p>
            <w:r>
              <w:rPr>
                <w:sz w:val="17"/>
              </w:rPr>
            </w:r>
          </w:p>
        </w:tc>
      </w:tr>
      <w:tr>
        <w:tc>
          <w:tcPr>
            <w:tcW w:type="dxa" w:w="3360"/>
            <w:vAlign w:val="top"/>
            <w:shd w:fill="F2E8EB"/>
          </w:tcPr>
          <w:p>
            <w:r>
              <w:rPr>
                <w:sz w:val="17"/>
              </w:rPr>
              <w:t>Value mechanism</w:t>
            </w:r>
          </w:p>
        </w:tc>
        <w:tc>
          <w:tcPr>
            <w:tcW w:type="dxa" w:w="3360"/>
            <w:vAlign w:val="top"/>
          </w:tcPr>
          <w:p>
            <w:r>
              <w:rPr>
                <w:sz w:val="17"/>
              </w:rPr>
              <w:t>Explain how the intervention is expected to change a decision, action, outcome, resource consequence, and public value.</w:t>
            </w:r>
          </w:p>
        </w:tc>
        <w:tc>
          <w:tcPr>
            <w:tcW w:type="dxa" w:w="3360"/>
            <w:vAlign w:val="top"/>
          </w:tcPr>
          <w:p>
            <w:r>
              <w:rPr>
                <w:sz w:val="17"/>
              </w:rPr>
            </w:r>
          </w:p>
        </w:tc>
      </w:tr>
      <w:tr>
        <w:tc>
          <w:tcPr>
            <w:tcW w:type="dxa" w:w="3360"/>
            <w:vAlign w:val="top"/>
            <w:shd w:fill="F2E8EB"/>
          </w:tcPr>
          <w:p>
            <w:r>
              <w:rPr>
                <w:sz w:val="17"/>
              </w:rPr>
              <w:t>Decision rule</w:t>
            </w:r>
          </w:p>
        </w:tc>
        <w:tc>
          <w:tcPr>
            <w:tcW w:type="dxa" w:w="3360"/>
            <w:vAlign w:val="top"/>
          </w:tcPr>
          <w:p>
            <w:r>
              <w:rPr>
                <w:sz w:val="17"/>
              </w:rPr>
              <w:t>Define proceed, redesign, silent validation, pilot, conditional adoption, scale, restrict, pause, replace, or retire criteria.</w:t>
            </w:r>
          </w:p>
        </w:tc>
        <w:tc>
          <w:tcPr>
            <w:tcW w:type="dxa" w:w="3360"/>
            <w:vAlign w:val="top"/>
          </w:tcPr>
          <w:p>
            <w:r>
              <w:rPr>
                <w:sz w:val="17"/>
              </w:rPr>
            </w:r>
          </w:p>
        </w:tc>
      </w:tr>
      <w:tr>
        <w:tc>
          <w:tcPr>
            <w:tcW w:type="dxa" w:w="3360"/>
            <w:vAlign w:val="top"/>
            <w:shd w:fill="F2E8EB"/>
          </w:tcPr>
          <w:p>
            <w:r>
              <w:rPr>
                <w:sz w:val="17"/>
              </w:rPr>
              <w:t>Evidence cut-off and next review</w:t>
            </w:r>
          </w:p>
        </w:tc>
        <w:tc>
          <w:tcPr>
            <w:tcW w:type="dxa" w:w="3360"/>
            <w:vAlign w:val="top"/>
          </w:tcPr>
          <w:p>
            <w:r>
              <w:rPr>
                <w:sz w:val="17"/>
              </w:rPr>
              <w:t>Record the last evidence date, responsible reviewer, planned review date, and trigger events.</w:t>
            </w:r>
          </w:p>
        </w:tc>
        <w:tc>
          <w:tcPr>
            <w:tcW w:type="dxa" w:w="3360"/>
            <w:vAlign w:val="top"/>
          </w:tcPr>
          <w:p>
            <w:r>
              <w:rPr>
                <w:sz w:val="17"/>
              </w:rPr>
            </w:r>
          </w:p>
        </w:tc>
      </w:tr>
    </w:tbl>
    <w:p>
      <w:r>
        <w:br w:type="page"/>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Service problem and baseline burden</w:t>
            </w:r>
          </w:p>
        </w:tc>
        <w:tc>
          <w:tcPr>
            <w:tcW w:type="dxa" w:w="3360"/>
            <w:vAlign w:val="top"/>
          </w:tcPr>
          <w:p>
            <w:r>
              <w:rPr>
                <w:sz w:val="17"/>
              </w:rPr>
              <w:t>Describe the unmet clinical, operational, workforce, quality, accreditation, or public-health need using measurable baseline evidence.</w:t>
            </w:r>
          </w:p>
        </w:tc>
        <w:tc>
          <w:tcPr>
            <w:tcW w:type="dxa" w:w="3360"/>
            <w:vAlign w:val="top"/>
          </w:tcPr>
          <w:p>
            <w:r>
              <w:rPr>
                <w:sz w:val="17"/>
              </w:rPr>
              <w:t>Median emergency-department time to clinical prioritization is 42 minutes; 18% of high-risk patients wait longer than the local target.</w:t>
            </w:r>
          </w:p>
        </w:tc>
      </w:tr>
      <w:tr>
        <w:tc>
          <w:tcPr>
            <w:tcW w:type="dxa" w:w="3360"/>
            <w:vAlign w:val="top"/>
            <w:shd w:fill="EFEFEF"/>
          </w:tcPr>
          <w:p>
            <w:r>
              <w:rPr>
                <w:sz w:val="17"/>
              </w:rPr>
              <w:t>Population and setting</w:t>
            </w:r>
          </w:p>
        </w:tc>
        <w:tc>
          <w:tcPr>
            <w:tcW w:type="dxa" w:w="3360"/>
            <w:vAlign w:val="top"/>
          </w:tcPr>
          <w:p>
            <w:r>
              <w:rPr>
                <w:sz w:val="17"/>
              </w:rPr>
              <w:t>Define included and excluded populations, services, locations, and time periods.</w:t>
            </w:r>
          </w:p>
        </w:tc>
        <w:tc>
          <w:tcPr>
            <w:tcW w:type="dxa" w:w="3360"/>
            <w:vAlign w:val="top"/>
          </w:tcPr>
          <w:p>
            <w:r>
              <w:rPr>
                <w:sz w:val="17"/>
              </w:rPr>
              <w:t>Adults in two urban emergency departments; pediatric, obstetric, and major-trauma pathways excluded from the initial pilot.</w:t>
            </w:r>
          </w:p>
        </w:tc>
      </w:tr>
      <w:tr>
        <w:tc>
          <w:tcPr>
            <w:tcW w:type="dxa" w:w="3360"/>
            <w:vAlign w:val="top"/>
            <w:shd w:fill="EFEFEF"/>
          </w:tcPr>
          <w:p>
            <w:r>
              <w:rPr>
                <w:sz w:val="17"/>
              </w:rPr>
              <w:t>AI-enabled intervention</w:t>
            </w:r>
          </w:p>
        </w:tc>
        <w:tc>
          <w:tcPr>
            <w:tcW w:type="dxa" w:w="3360"/>
            <w:vAlign w:val="top"/>
          </w:tcPr>
          <w:p>
            <w:r>
              <w:rPr>
                <w:sz w:val="17"/>
              </w:rPr>
              <w:t>Describe the complete intervention bundle: data, model, interfaces, thresholds, users, review, workflow, downstream action, monitoring, support, and exit.</w:t>
            </w:r>
          </w:p>
        </w:tc>
        <w:tc>
          <w:tcPr>
            <w:tcW w:type="dxa" w:w="3360"/>
            <w:vAlign w:val="top"/>
          </w:tcPr>
          <w:p>
            <w:r>
              <w:rPr>
                <w:sz w:val="17"/>
              </w:rPr>
              <w:t>Version-controlled risk service using EHR data, nurse confirmation, documented override, escalation, monitoring, and rollback.</w:t>
            </w:r>
          </w:p>
        </w:tc>
      </w:tr>
      <w:tr>
        <w:tc>
          <w:tcPr>
            <w:tcW w:type="dxa" w:w="3360"/>
            <w:vAlign w:val="top"/>
            <w:shd w:fill="EFEFEF"/>
          </w:tcPr>
          <w:p>
            <w:r>
              <w:rPr>
                <w:sz w:val="17"/>
              </w:rPr>
              <w:t>Realistic comparators</w:t>
            </w:r>
          </w:p>
        </w:tc>
        <w:tc>
          <w:tcPr>
            <w:tcW w:type="dxa" w:w="3360"/>
            <w:vAlign w:val="top"/>
          </w:tcPr>
          <w:p>
            <w:r>
              <w:rPr>
                <w:sz w:val="17"/>
              </w:rPr>
              <w:t>Record current practice, process redesign, staffing, equipment, conventional digital tools, alternative AI, shared service, and no-change options where relevant.</w:t>
            </w:r>
          </w:p>
        </w:tc>
        <w:tc>
          <w:tcPr>
            <w:tcW w:type="dxa" w:w="3360"/>
            <w:vAlign w:val="top"/>
          </w:tcPr>
          <w:p>
            <w:r>
              <w:rPr>
                <w:sz w:val="17"/>
              </w:rPr>
              <w:t>Current triage, revised streaming, additional triage staffing, and a non-AI early-warning score.</w:t>
            </w:r>
          </w:p>
        </w:tc>
      </w:tr>
      <w:tr>
        <w:tc>
          <w:tcPr>
            <w:tcW w:type="dxa" w:w="3360"/>
            <w:vAlign w:val="top"/>
            <w:shd w:fill="EFEFEF"/>
          </w:tcPr>
          <w:p>
            <w:r>
              <w:rPr>
                <w:sz w:val="17"/>
              </w:rPr>
              <w:t>Decision-maker and perspective</w:t>
            </w:r>
          </w:p>
        </w:tc>
        <w:tc>
          <w:tcPr>
            <w:tcW w:type="dxa" w:w="3360"/>
            <w:vAlign w:val="top"/>
          </w:tcPr>
          <w:p>
            <w:r>
              <w:rPr>
                <w:sz w:val="17"/>
              </w:rPr>
              <w:t>Identify the authority making the decision and the hospital, health-system, payer, patient, societal, or combined perspective.</w:t>
            </w:r>
          </w:p>
        </w:tc>
        <w:tc>
          <w:tcPr>
            <w:tcW w:type="dxa" w:w="3360"/>
            <w:vAlign w:val="top"/>
          </w:tcPr>
          <w:p>
            <w:r>
              <w:rPr>
                <w:sz w:val="17"/>
              </w:rPr>
              <w:t>Hospital executive committee; hospital and health-system perspectives with patient and environmental effects reported separately.</w:t>
            </w:r>
          </w:p>
        </w:tc>
      </w:tr>
      <w:tr>
        <w:tc>
          <w:tcPr>
            <w:tcW w:type="dxa" w:w="3360"/>
            <w:vAlign w:val="top"/>
            <w:shd w:fill="EFEFEF"/>
          </w:tcPr>
          <w:p>
            <w:r>
              <w:rPr>
                <w:sz w:val="17"/>
              </w:rPr>
              <w:t>Primary and balancing outcomes</w:t>
            </w:r>
          </w:p>
        </w:tc>
        <w:tc>
          <w:tcPr>
            <w:tcW w:type="dxa" w:w="3360"/>
            <w:vAlign w:val="top"/>
          </w:tcPr>
          <w:p>
            <w:r>
              <w:rPr>
                <w:sz w:val="17"/>
              </w:rPr>
              <w:t>Define clinical, operational, quality, accreditation, workforce, economic, equity, trust, environmental, and safety outcomes.</w:t>
            </w:r>
          </w:p>
        </w:tc>
        <w:tc>
          <w:tcPr>
            <w:tcW w:type="dxa" w:w="3360"/>
            <w:vAlign w:val="top"/>
          </w:tcPr>
          <w:p>
            <w:r>
              <w:rPr>
                <w:sz w:val="17"/>
              </w:rPr>
              <w:t>Time to assessment, missed deterioration, false-alert burden, workload, subgroup access, staff experience, lifecycle cost, and continuity.</w:t>
            </w:r>
          </w:p>
        </w:tc>
      </w:tr>
      <w:tr>
        <w:tc>
          <w:tcPr>
            <w:tcW w:type="dxa" w:w="3360"/>
            <w:vAlign w:val="top"/>
            <w:shd w:fill="EFEFEF"/>
          </w:tcPr>
          <w:p>
            <w:r>
              <w:rPr>
                <w:sz w:val="17"/>
              </w:rPr>
              <w:t>Time horizon and decision window</w:t>
            </w:r>
          </w:p>
        </w:tc>
        <w:tc>
          <w:tcPr>
            <w:tcW w:type="dxa" w:w="3360"/>
            <w:vAlign w:val="top"/>
          </w:tcPr>
          <w:p>
            <w:r>
              <w:rPr>
                <w:sz w:val="17"/>
              </w:rPr>
              <w:t>State the analytic horizon and the time within which an output must lead to action.</w:t>
            </w:r>
          </w:p>
        </w:tc>
        <w:tc>
          <w:tcPr>
            <w:tcW w:type="dxa" w:w="3360"/>
            <w:vAlign w:val="top"/>
          </w:tcPr>
          <w:p>
            <w:r>
              <w:rPr>
                <w:sz w:val="17"/>
              </w:rPr>
              <w:t>Three-year economic horizon; output must arrive within five minutes of triage documentation.</w:t>
            </w:r>
          </w:p>
        </w:tc>
      </w:tr>
      <w:tr>
        <w:tc>
          <w:tcPr>
            <w:tcW w:type="dxa" w:w="3360"/>
            <w:vAlign w:val="top"/>
            <w:shd w:fill="EFEFEF"/>
          </w:tcPr>
          <w:p>
            <w:r>
              <w:rPr>
                <w:sz w:val="17"/>
              </w:rPr>
              <w:t>Value mechanism</w:t>
            </w:r>
          </w:p>
        </w:tc>
        <w:tc>
          <w:tcPr>
            <w:tcW w:type="dxa" w:w="3360"/>
            <w:vAlign w:val="top"/>
          </w:tcPr>
          <w:p>
            <w:r>
              <w:rPr>
                <w:sz w:val="17"/>
              </w:rPr>
              <w:t>Explain how the intervention is expected to change a decision, action, outcome, resource consequence, and public value.</w:t>
            </w:r>
          </w:p>
        </w:tc>
        <w:tc>
          <w:tcPr>
            <w:tcW w:type="dxa" w:w="3360"/>
            <w:vAlign w:val="top"/>
          </w:tcPr>
          <w:p>
            <w:r>
              <w:rPr>
                <w:sz w:val="17"/>
              </w:rPr>
              <w:t>Earlier identification changes escalation timing, reduces avoidable harm, and preserves scarce response capacity.</w:t>
            </w:r>
          </w:p>
        </w:tc>
      </w:tr>
      <w:tr>
        <w:tc>
          <w:tcPr>
            <w:tcW w:type="dxa" w:w="3360"/>
            <w:vAlign w:val="top"/>
            <w:shd w:fill="EFEFEF"/>
          </w:tcPr>
          <w:p>
            <w:r>
              <w:rPr>
                <w:sz w:val="17"/>
              </w:rPr>
              <w:t>Decision rule</w:t>
            </w:r>
          </w:p>
        </w:tc>
        <w:tc>
          <w:tcPr>
            <w:tcW w:type="dxa" w:w="3360"/>
            <w:vAlign w:val="top"/>
          </w:tcPr>
          <w:p>
            <w:r>
              <w:rPr>
                <w:sz w:val="17"/>
              </w:rPr>
              <w:t>Define proceed, redesign, silent validation, pilot, conditional adoption, scale, restrict, pause, replace, or retire criteria.</w:t>
            </w:r>
          </w:p>
        </w:tc>
        <w:tc>
          <w:tcPr>
            <w:tcW w:type="dxa" w:w="3360"/>
            <w:vAlign w:val="top"/>
          </w:tcPr>
          <w:p>
            <w:r>
              <w:rPr>
                <w:sz w:val="17"/>
              </w:rPr>
              <w:t>Proceed to silent-mode validation only if data completeness exceeds 95%, subgroup calibration is acceptable, and fallback is tested.</w:t>
            </w:r>
          </w:p>
        </w:tc>
      </w:tr>
      <w:tr>
        <w:tc>
          <w:tcPr>
            <w:tcW w:type="dxa" w:w="3360"/>
            <w:vAlign w:val="top"/>
            <w:shd w:fill="EFEFEF"/>
          </w:tcPr>
          <w:p>
            <w:r>
              <w:rPr>
                <w:sz w:val="17"/>
              </w:rPr>
              <w:t>Evidence cut-off and next review</w:t>
            </w:r>
          </w:p>
        </w:tc>
        <w:tc>
          <w:tcPr>
            <w:tcW w:type="dxa" w:w="3360"/>
            <w:vAlign w:val="top"/>
          </w:tcPr>
          <w:p>
            <w:r>
              <w:rPr>
                <w:sz w:val="17"/>
              </w:rPr>
              <w:t>Record the last evidence date, responsible reviewer, planned review date, and trigger events.</w:t>
            </w:r>
          </w:p>
        </w:tc>
        <w:tc>
          <w:tcPr>
            <w:tcW w:type="dxa" w:w="3360"/>
            <w:vAlign w:val="top"/>
          </w:tcPr>
          <w:p>
            <w:r>
              <w:rPr>
                <w:sz w:val="17"/>
              </w:rPr>
              <w:t>Evidence cut-off 2026-01-31; owner Director of Quality; next review 2026-07-31 or upon material change.</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AIHE-A01 | V1.0 | Create a governed copy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AIHE-A01 template and worked example</dc:title>
  <dc:creator/>
  <ns0:lastModifiedBy/>
  <ns2:created xsi:type="dcterms:W3CDTF">2026-08-06T00:00:00Z</ns2:created>
  <ns2:modified xsi:type="dcterms:W3CDTF">2026-08-06T00:00:00Z</ns2:modified>
</ns0:coreProperties>
</file>