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Common AI Adoption Failures and Corrective Actions</w:t>
      </w:r>
    </w:p>
    <w:p>
      <w:pPr>
        <w:jc w:val="center"/>
      </w:pPr>
      <w:r>
        <w:rPr>
          <w:b/>
          <w:color w:val="7A2334"/>
        </w:rPr>
        <w:t>AIHE-RG07</w:t>
      </w:r>
    </w:p>
    <w:p>
      <w:pPr>
        <w:spacing w:after="40"/>
      </w:pPr>
      <w:r>
        <w:rPr>
          <w:b/>
        </w:rPr>
        <w:t xml:space="preserve">Primary chapter: </w:t>
      </w:r>
      <w:r>
        <w:t>1 — AI as a Health-System Intervention</w:t>
      </w:r>
    </w:p>
    <w:p>
      <w:pPr>
        <w:spacing w:after="40"/>
      </w:pPr>
      <w:r>
        <w:rPr>
          <w:b/>
        </w:rPr>
        <w:t xml:space="preserve">Additional chapter alignment: </w:t>
      </w:r>
      <w:r>
        <w:t>1-12</w:t>
      </w:r>
    </w:p>
    <w:p>
      <w:pPr>
        <w:spacing w:after="40"/>
      </w:pPr>
      <w:r>
        <w:rPr>
          <w:b/>
        </w:rPr>
        <w:t xml:space="preserve">Version: </w:t>
      </w:r>
      <w:r>
        <w:t>V1.0</w:t>
      </w:r>
    </w:p>
    <w:p>
      <w:pPr>
        <w:pStyle w:val="Heading1"/>
      </w:pPr>
      <w:r>
        <w:t>Purpose</w:t>
      </w:r>
    </w:p>
    <w:p>
      <w:r>
        <w:t>Identify recurring technology-led, economic, workflow, evidence, governance, procurement, and lifecycle failures and record preventive controls.</w:t>
      </w:r>
    </w:p>
    <w:p>
      <w:pPr>
        <w:pStyle w:val="Heading1"/>
      </w:pPr>
      <w:r>
        <w:t>Instructions</w:t>
      </w:r>
    </w:p>
    <w:p>
      <w:pPr>
        <w:pStyle w:val="ListBullet"/>
      </w:pPr>
      <w:r>
        <w:t>Define the decision question before selecting an instrument or framework.</w:t>
      </w:r>
    </w:p>
    <w:p>
      <w:pPr>
        <w:pStyle w:val="ListBullet"/>
      </w:pPr>
      <w:r>
        <w:t>Verify the exact edition, publication date, jurisdiction, scope, and status of external sources.</w:t>
      </w:r>
    </w:p>
    <w:p>
      <w:pPr>
        <w:pStyle w:val="ListBullet"/>
      </w:pPr>
      <w:r>
        <w:t>Record local evidence, judgement, ownership, gaps, and the resulting decision.</w:t>
      </w:r>
    </w:p>
    <w:p>
      <w:pPr>
        <w:pStyle w:val="ListBullet"/>
      </w:pPr>
      <w:r>
        <w:t>Review and update the record when law, standards, policy, evidence, or institutional context changes.</w:t>
      </w:r>
    </w:p>
    <w:p>
      <w:pPr>
        <w:pStyle w:val="Heading1"/>
      </w:pPr>
      <w:r>
        <w:t>Editable register or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5"/>
        <w:gridCol w:w="1525"/>
        <w:gridCol w:w="1525"/>
        <w:gridCol w:w="1525"/>
        <w:gridCol w:w="1525"/>
        <w:gridCol w:w="1525"/>
        <w:gridCol w:w="1525"/>
        <w:gridCol w:w="1525"/>
        <w:gridCol w:w="1525"/>
        <w:gridCol w:w="1525"/>
      </w:tblGrid>
      <w:tr>
        <w:trPr>
          <w:tblHeader w:val="true"/>
        </w:trPr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Failure pattern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Observed or plausible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Current control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Gap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Corrective action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Due date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Closure evidence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Residual risk</w:t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Buying before defining the problem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Treating accuracy as value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Ignoring hidden lifecycle costs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Assuming time saved becomes cash saving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Accepting vendor evidence without local validation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Treating ethics privacy cybersecurity or equity as late approval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Using symbolic human oversight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Scaling from pilot averages without marginal analysis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Contracting without update and exit controls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Monitoring only model performance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Omitting de-adoption criteria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</w:tbl>
    <w:sectPr w:rsidR="00FC693F" w:rsidRPr="0006063C" w:rsidSect="00034616">
      <w:footerReference w:type="default" r:id="rId9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AIHE-RG07 | V1.0 | Verify current sources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AIHE-RG07 guide and template</dc:title>
  <dc:creator/>
  <ns0:lastModifiedBy/>
  <ns2:created xsi:type="dcterms:W3CDTF">2026-08-06T00:00:00Z</ns2:created>
  <ns2:modified xsi:type="dcterms:W3CDTF">2026-08-06T00:00:00Z</ns2:modified>
</ns0:coreProperties>
</file>