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Institutional Readiness Assessment</w:t>
      </w:r>
    </w:p>
    <w:p>
      <w:pPr>
        <w:jc w:val="center"/>
      </w:pPr>
      <w:r>
        <w:rPr>
          <w:b/>
          <w:color w:val="7A2334"/>
        </w:rPr>
        <w:t>AIHE-A03</w:t>
      </w:r>
    </w:p>
    <w:p>
      <w:pPr>
        <w:spacing w:after="40"/>
      </w:pPr>
      <w:r>
        <w:rPr>
          <w:b/>
        </w:rPr>
        <w:t xml:space="preserve">Primary chapter: </w:t>
      </w:r>
      <w:r>
        <w:t>2 — Institutional Readiness and Digital Foundations</w:t>
      </w:r>
    </w:p>
    <w:p>
      <w:pPr>
        <w:spacing w:after="40"/>
      </w:pPr>
      <w:r>
        <w:rPr>
          <w:b/>
        </w:rPr>
        <w:t xml:space="preserve">Additional chapter alignment: </w:t>
      </w:r>
      <w:r>
        <w:t>2, 4, 5, 9, 10, 12</w:t>
      </w:r>
    </w:p>
    <w:p>
      <w:pPr>
        <w:spacing w:after="40"/>
      </w:pPr>
      <w:r>
        <w:rPr>
          <w:b/>
        </w:rPr>
        <w:t xml:space="preserve">Legacy aliases: </w:t>
      </w:r>
      <w:r>
        <w:t>AIHE-A, AIHE-L</w:t>
      </w:r>
    </w:p>
    <w:p>
      <w:pPr>
        <w:spacing w:after="40"/>
      </w:pPr>
      <w:r>
        <w:rPr>
          <w:b/>
        </w:rPr>
        <w:t xml:space="preserve">Version: </w:t>
      </w:r>
      <w:r>
        <w:t>V1.0</w:t>
      </w:r>
    </w:p>
    <w:p>
      <w:pPr>
        <w:pStyle w:val="Heading1"/>
      </w:pPr>
      <w:r>
        <w:t>Purpose</w:t>
      </w:r>
    </w:p>
    <w:p>
      <w:r>
        <w:t>Assess strategic, data, infrastructure, workflow, workforce, quality, economic, governance, procurement, and sustainability readiness.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Domain</w:t>
            </w:r>
          </w:p>
        </w:tc>
        <w:tc>
          <w:tcPr>
            <w:tcW w:type="dxa" w:w="2520"/>
            <w:shd w:fill="7A2334"/>
          </w:tcPr>
          <w:p>
            <w:r>
              <w:rPr>
                <w:b/>
                <w:color w:val="FFFFFF"/>
                <w:sz w:val="18"/>
              </w:rPr>
              <w:t>Assessment question</w:t>
            </w:r>
          </w:p>
        </w:tc>
        <w:tc>
          <w:tcPr>
            <w:tcW w:type="dxa" w:w="2520"/>
            <w:shd w:fill="7A2334"/>
          </w:tcPr>
          <w:p>
            <w:r>
              <w:rPr>
                <w:b/>
                <w:color w:val="FFFFFF"/>
                <w:sz w:val="18"/>
              </w:rPr>
              <w:t>0–4</w:t>
            </w:r>
          </w:p>
        </w:tc>
        <w:tc>
          <w:tcPr>
            <w:tcW w:type="dxa" w:w="2520"/>
            <w:shd w:fill="7A2334"/>
          </w:tcPr>
          <w:p>
            <w:r>
              <w:rPr>
                <w:b/>
                <w:color w:val="FFFFFF"/>
                <w:sz w:val="18"/>
              </w:rPr>
              <w:t>Evidence, gap, prerequisite, and owner</w:t>
            </w:r>
          </w:p>
        </w:tc>
      </w:tr>
      <w:tr>
        <w:tc>
          <w:tcPr>
            <w:tcW w:type="dxa" w:w="2520"/>
            <w:vAlign w:val="top"/>
            <w:shd w:fill="F2E8EB"/>
          </w:tcPr>
          <w:p>
            <w:r>
              <w:rPr>
                <w:sz w:val="17"/>
              </w:rPr>
              <w:t>Strategic alignment</w:t>
            </w:r>
          </w:p>
        </w:tc>
        <w:tc>
          <w:tcPr>
            <w:tcW w:type="dxa" w:w="2520"/>
            <w:vAlign w:val="top"/>
          </w:tcPr>
          <w:p>
            <w:r>
              <w:rPr>
                <w:sz w:val="17"/>
              </w:rPr>
              <w:t>Is the problem linked to documented health-system priorities and realistic alternatives?</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Data fitness</w:t>
            </w:r>
          </w:p>
        </w:tc>
        <w:tc>
          <w:tcPr>
            <w:tcW w:type="dxa" w:w="2520"/>
            <w:vAlign w:val="top"/>
          </w:tcPr>
          <w:p>
            <w:r>
              <w:rPr>
                <w:sz w:val="17"/>
              </w:rPr>
              <w:t>Are required data lawful, available, timely, representative, traceable, and sustainable?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Interoperability</w:t>
            </w:r>
          </w:p>
        </w:tc>
        <w:tc>
          <w:tcPr>
            <w:tcW w:type="dxa" w:w="2520"/>
            <w:vAlign w:val="top"/>
          </w:tcPr>
          <w:p>
            <w:r>
              <w:rPr>
                <w:sz w:val="17"/>
              </w:rPr>
              <w:t>Can inputs and outputs be exchanged and interpreted consistently within the decision window?</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Infrastructure and resilience</w:t>
            </w:r>
          </w:p>
        </w:tc>
        <w:tc>
          <w:tcPr>
            <w:tcW w:type="dxa" w:w="2520"/>
            <w:vAlign w:val="top"/>
          </w:tcPr>
          <w:p>
            <w:r>
              <w:rPr>
                <w:sz w:val="17"/>
              </w:rPr>
              <w:t>Are identity, access, compute, storage, interfaces, logging, fallback, and recovery adequate?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Workflow and downstream capacity</w:t>
            </w:r>
          </w:p>
        </w:tc>
        <w:tc>
          <w:tcPr>
            <w:tcW w:type="dxa" w:w="2520"/>
            <w:vAlign w:val="top"/>
          </w:tcPr>
          <w:p>
            <w:r>
              <w:rPr>
                <w:sz w:val="17"/>
              </w:rPr>
              <w:t>Can users interpret the output and take the intended action without shifting unsafe burden?</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Workforce capability</w:t>
            </w:r>
          </w:p>
        </w:tc>
        <w:tc>
          <w:tcPr>
            <w:tcW w:type="dxa" w:w="2520"/>
            <w:vAlign w:val="top"/>
          </w:tcPr>
          <w:p>
            <w:r>
              <w:rPr>
                <w:sz w:val="17"/>
              </w:rPr>
              <w:t>Are roles, training, competency, supervision, and professional responsibilities defined?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Quality and accreditation</w:t>
            </w:r>
          </w:p>
        </w:tc>
        <w:tc>
          <w:tcPr>
            <w:tcW w:type="dxa" w:w="2520"/>
            <w:vAlign w:val="top"/>
          </w:tcPr>
          <w:p>
            <w:r>
              <w:rPr>
                <w:sz w:val="17"/>
              </w:rPr>
              <w:t>Are controls, indicators, evidence, incident processes, and improvement responsibilities integrated?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Economics and affordability</w:t>
            </w:r>
          </w:p>
        </w:tc>
        <w:tc>
          <w:tcPr>
            <w:tcW w:type="dxa" w:w="2520"/>
            <w:vAlign w:val="top"/>
          </w:tcPr>
          <w:p>
            <w:r>
              <w:rPr>
                <w:sz w:val="17"/>
              </w:rPr>
              <w:t>Are lifecycle costs, resource constraints, benefits, uncertainty, and budget exposure understood?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Governance and assurance</w:t>
            </w:r>
          </w:p>
        </w:tc>
        <w:tc>
          <w:tcPr>
            <w:tcW w:type="dxa" w:w="2520"/>
            <w:vAlign w:val="top"/>
          </w:tcPr>
          <w:p>
            <w:r>
              <w:rPr>
                <w:sz w:val="17"/>
              </w:rPr>
              <w:t>Are decision rights, safeguards, independent review, monitoring, and authority to stop defined?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Procurement and vendor readiness</w:t>
            </w:r>
          </w:p>
        </w:tc>
        <w:tc>
          <w:tcPr>
            <w:tcW w:type="dxa" w:w="2520"/>
            <w:vAlign w:val="top"/>
          </w:tcPr>
          <w:p>
            <w:r>
              <w:rPr>
                <w:sz w:val="17"/>
              </w:rPr>
              <w:t>Can evidence, audit, updates, data rights, support, pricing, portability, and exit be contracted?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Circularity and sustainability</w:t>
            </w:r>
          </w:p>
        </w:tc>
        <w:tc>
          <w:tcPr>
            <w:tcW w:type="dxa" w:w="2520"/>
            <w:vAlign w:val="top"/>
          </w:tcPr>
          <w:p>
            <w:r>
              <w:rPr>
                <w:sz w:val="17"/>
              </w:rPr>
              <w:t>Are resource demand, asset life, maintenance, take-back, residual value, and disposition considered where material?</w:t>
            </w:r>
          </w:p>
        </w:tc>
        <w:tc>
          <w:tcPr>
            <w:tcW w:type="dxa" w:w="2520"/>
            <w:vAlign w:val="top"/>
          </w:tcPr>
          <w:p>
            <w:r>
              <w:rPr>
                <w:sz w:val="17"/>
              </w:rPr>
            </w:r>
          </w:p>
        </w:tc>
        <w:tc>
          <w:tcPr>
            <w:tcW w:type="dxa" w:w="2520"/>
            <w:vAlign w:val="top"/>
          </w:tcPr>
          <w:p>
            <w:r>
              <w:rPr>
                <w:sz w:val="17"/>
              </w:rPr>
            </w:r>
          </w:p>
        </w:tc>
      </w:tr>
    </w:tbl>
    <w:p>
      <w:r>
        <w:br w:type="page"/>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Domain</w:t>
            </w:r>
          </w:p>
        </w:tc>
        <w:tc>
          <w:tcPr>
            <w:tcW w:type="dxa" w:w="2520"/>
            <w:shd w:fill="52565A"/>
          </w:tcPr>
          <w:p>
            <w:r>
              <w:rPr>
                <w:b/>
                <w:color w:val="FFFFFF"/>
                <w:sz w:val="18"/>
              </w:rPr>
              <w:t>Assessment question</w:t>
            </w:r>
          </w:p>
        </w:tc>
        <w:tc>
          <w:tcPr>
            <w:tcW w:type="dxa" w:w="2520"/>
            <w:shd w:fill="52565A"/>
          </w:tcPr>
          <w:p>
            <w:r>
              <w:rPr>
                <w:b/>
                <w:color w:val="FFFFFF"/>
                <w:sz w:val="18"/>
              </w:rPr>
              <w:t>0–4</w:t>
            </w:r>
          </w:p>
        </w:tc>
        <w:tc>
          <w:tcPr>
            <w:tcW w:type="dxa" w:w="2520"/>
            <w:shd w:fill="52565A"/>
          </w:tcPr>
          <w:p>
            <w:r>
              <w:rPr>
                <w:b/>
                <w:color w:val="FFFFFF"/>
                <w:sz w:val="18"/>
              </w:rPr>
              <w:t>Evidence, gap, prerequisite, and owner</w:t>
            </w:r>
          </w:p>
        </w:tc>
      </w:tr>
      <w:tr>
        <w:tc>
          <w:tcPr>
            <w:tcW w:type="dxa" w:w="2520"/>
            <w:vAlign w:val="top"/>
            <w:shd w:fill="EFEFEF"/>
          </w:tcPr>
          <w:p>
            <w:r>
              <w:rPr>
                <w:sz w:val="17"/>
              </w:rPr>
              <w:t>Strategic alignment</w:t>
            </w:r>
          </w:p>
        </w:tc>
        <w:tc>
          <w:tcPr>
            <w:tcW w:type="dxa" w:w="2520"/>
            <w:vAlign w:val="top"/>
          </w:tcPr>
          <w:p>
            <w:r>
              <w:rPr>
                <w:sz w:val="17"/>
              </w:rPr>
              <w:t>Is the problem linked to documented health-system priorities and realistic alternatives?</w:t>
            </w:r>
          </w:p>
        </w:tc>
        <w:tc>
          <w:tcPr>
            <w:tcW w:type="dxa" w:w="2520"/>
            <w:vAlign w:val="top"/>
          </w:tcPr>
          <w:p>
            <w:r>
              <w:rPr>
                <w:sz w:val="17"/>
              </w:rPr>
              <w:t>3</w:t>
            </w:r>
          </w:p>
        </w:tc>
        <w:tc>
          <w:tcPr>
            <w:tcW w:type="dxa" w:w="2520"/>
            <w:vAlign w:val="top"/>
          </w:tcPr>
          <w:p>
            <w:r>
              <w:rPr>
                <w:sz w:val="17"/>
              </w:rPr>
              <w:t>Clinical service lead</w:t>
            </w:r>
          </w:p>
        </w:tc>
      </w:tr>
      <w:tr>
        <w:tc>
          <w:tcPr>
            <w:tcW w:type="dxa" w:w="2520"/>
            <w:vAlign w:val="top"/>
            <w:shd w:fill="EFEFEF"/>
          </w:tcPr>
          <w:p>
            <w:r>
              <w:rPr>
                <w:sz w:val="17"/>
              </w:rPr>
              <w:t>Data fitness</w:t>
            </w:r>
          </w:p>
        </w:tc>
        <w:tc>
          <w:tcPr>
            <w:tcW w:type="dxa" w:w="2520"/>
            <w:vAlign w:val="top"/>
          </w:tcPr>
          <w:p>
            <w:r>
              <w:rPr>
                <w:sz w:val="17"/>
              </w:rPr>
              <w:t>Are required data lawful, available, timely, representative, traceable, and sustainable?</w:t>
            </w:r>
          </w:p>
        </w:tc>
        <w:tc>
          <w:tcPr>
            <w:tcW w:type="dxa" w:w="2520"/>
            <w:vAlign w:val="top"/>
          </w:tcPr>
          <w:p>
            <w:r>
              <w:rPr>
                <w:sz w:val="17"/>
              </w:rPr>
              <w:t>3</w:t>
            </w:r>
          </w:p>
        </w:tc>
        <w:tc>
          <w:tcPr>
            <w:tcW w:type="dxa" w:w="2520"/>
            <w:vAlign w:val="top"/>
          </w:tcPr>
          <w:p>
            <w:r>
              <w:rPr>
                <w:sz w:val="17"/>
              </w:rPr>
              <w:t>Quality lead</w:t>
            </w:r>
          </w:p>
        </w:tc>
      </w:tr>
      <w:tr>
        <w:tc>
          <w:tcPr>
            <w:tcW w:type="dxa" w:w="2520"/>
            <w:vAlign w:val="top"/>
            <w:shd w:fill="EFEFEF"/>
          </w:tcPr>
          <w:p>
            <w:r>
              <w:rPr>
                <w:sz w:val="17"/>
              </w:rPr>
              <w:t>Interoperability</w:t>
            </w:r>
          </w:p>
        </w:tc>
        <w:tc>
          <w:tcPr>
            <w:tcW w:type="dxa" w:w="2520"/>
            <w:vAlign w:val="top"/>
          </w:tcPr>
          <w:p>
            <w:r>
              <w:rPr>
                <w:sz w:val="17"/>
              </w:rPr>
              <w:t>Can inputs and outputs be exchanged and interpreted consistently within the decision window?</w:t>
            </w:r>
          </w:p>
        </w:tc>
        <w:tc>
          <w:tcPr>
            <w:tcW w:type="dxa" w:w="2520"/>
            <w:vAlign w:val="top"/>
          </w:tcPr>
          <w:p>
            <w:r>
              <w:rPr>
                <w:sz w:val="17"/>
              </w:rPr>
              <w:t>3</w:t>
            </w:r>
          </w:p>
        </w:tc>
        <w:tc>
          <w:tcPr>
            <w:tcW w:type="dxa" w:w="2520"/>
            <w:vAlign w:val="top"/>
          </w:tcPr>
          <w:p>
            <w:r>
              <w:rPr>
                <w:sz w:val="17"/>
              </w:rPr>
              <w:t>Data steward</w:t>
            </w:r>
          </w:p>
        </w:tc>
      </w:tr>
      <w:tr>
        <w:tc>
          <w:tcPr>
            <w:tcW w:type="dxa" w:w="2520"/>
            <w:vAlign w:val="top"/>
            <w:shd w:fill="EFEFEF"/>
          </w:tcPr>
          <w:p>
            <w:r>
              <w:rPr>
                <w:sz w:val="17"/>
              </w:rPr>
              <w:t>Infrastructure and resilience</w:t>
            </w:r>
          </w:p>
        </w:tc>
        <w:tc>
          <w:tcPr>
            <w:tcW w:type="dxa" w:w="2520"/>
            <w:vAlign w:val="top"/>
          </w:tcPr>
          <w:p>
            <w:r>
              <w:rPr>
                <w:sz w:val="17"/>
              </w:rPr>
              <w:t>Are identity, access, compute, storage, interfaces, logging, fallback, and recovery adequate?</w:t>
            </w:r>
          </w:p>
        </w:tc>
        <w:tc>
          <w:tcPr>
            <w:tcW w:type="dxa" w:w="2520"/>
            <w:vAlign w:val="top"/>
          </w:tcPr>
          <w:p>
            <w:r>
              <w:rPr>
                <w:sz w:val="17"/>
              </w:rPr>
              <w:t>3</w:t>
            </w:r>
          </w:p>
        </w:tc>
        <w:tc>
          <w:tcPr>
            <w:tcW w:type="dxa" w:w="2520"/>
            <w:vAlign w:val="top"/>
          </w:tcPr>
          <w:p>
            <w:r>
              <w:rPr>
                <w:sz w:val="17"/>
              </w:rPr>
              <w:t>Health economist</w:t>
            </w:r>
          </w:p>
        </w:tc>
      </w:tr>
      <w:tr>
        <w:tc>
          <w:tcPr>
            <w:tcW w:type="dxa" w:w="2520"/>
            <w:vAlign w:val="top"/>
            <w:shd w:fill="EFEFEF"/>
          </w:tcPr>
          <w:p>
            <w:r>
              <w:rPr>
                <w:sz w:val="17"/>
              </w:rPr>
              <w:t>Workflow and downstream capacity</w:t>
            </w:r>
          </w:p>
        </w:tc>
        <w:tc>
          <w:tcPr>
            <w:tcW w:type="dxa" w:w="2520"/>
            <w:vAlign w:val="top"/>
          </w:tcPr>
          <w:p>
            <w:r>
              <w:rPr>
                <w:sz w:val="17"/>
              </w:rPr>
              <w:t>Can users interpret the output and take the intended action without shifting unsafe burden?</w:t>
            </w:r>
          </w:p>
        </w:tc>
        <w:tc>
          <w:tcPr>
            <w:tcW w:type="dxa" w:w="2520"/>
            <w:vAlign w:val="top"/>
          </w:tcPr>
          <w:p>
            <w:r>
              <w:rPr>
                <w:sz w:val="17"/>
              </w:rPr>
              <w:t>3</w:t>
            </w:r>
          </w:p>
        </w:tc>
        <w:tc>
          <w:tcPr>
            <w:tcW w:type="dxa" w:w="2520"/>
            <w:vAlign w:val="top"/>
          </w:tcPr>
          <w:p>
            <w:r>
              <w:rPr>
                <w:sz w:val="17"/>
              </w:rPr>
              <w:t>Procurement lead</w:t>
            </w:r>
          </w:p>
        </w:tc>
      </w:tr>
      <w:tr>
        <w:tc>
          <w:tcPr>
            <w:tcW w:type="dxa" w:w="2520"/>
            <w:vAlign w:val="top"/>
            <w:shd w:fill="EFEFEF"/>
          </w:tcPr>
          <w:p>
            <w:r>
              <w:rPr>
                <w:sz w:val="17"/>
              </w:rPr>
              <w:t>Workforce capability</w:t>
            </w:r>
          </w:p>
        </w:tc>
        <w:tc>
          <w:tcPr>
            <w:tcW w:type="dxa" w:w="2520"/>
            <w:vAlign w:val="top"/>
          </w:tcPr>
          <w:p>
            <w:r>
              <w:rPr>
                <w:sz w:val="17"/>
              </w:rPr>
              <w:t>Are roles, training, competency, supervision, and professional responsibilities defined?</w:t>
            </w:r>
          </w:p>
        </w:tc>
        <w:tc>
          <w:tcPr>
            <w:tcW w:type="dxa" w:w="2520"/>
            <w:vAlign w:val="top"/>
          </w:tcPr>
          <w:p>
            <w:r>
              <w:rPr>
                <w:sz w:val="17"/>
              </w:rPr>
              <w:t>3</w:t>
            </w:r>
          </w:p>
        </w:tc>
        <w:tc>
          <w:tcPr>
            <w:tcW w:type="dxa" w:w="2520"/>
            <w:vAlign w:val="top"/>
          </w:tcPr>
          <w:p>
            <w:r>
              <w:rPr>
                <w:sz w:val="17"/>
              </w:rPr>
              <w:t>Clinical service lead</w:t>
            </w:r>
          </w:p>
        </w:tc>
      </w:tr>
      <w:tr>
        <w:tc>
          <w:tcPr>
            <w:tcW w:type="dxa" w:w="2520"/>
            <w:vAlign w:val="top"/>
            <w:shd w:fill="EFEFEF"/>
          </w:tcPr>
          <w:p>
            <w:r>
              <w:rPr>
                <w:sz w:val="17"/>
              </w:rPr>
              <w:t>Quality and accreditation</w:t>
            </w:r>
          </w:p>
        </w:tc>
        <w:tc>
          <w:tcPr>
            <w:tcW w:type="dxa" w:w="2520"/>
            <w:vAlign w:val="top"/>
          </w:tcPr>
          <w:p>
            <w:r>
              <w:rPr>
                <w:sz w:val="17"/>
              </w:rPr>
              <w:t>Are controls, indicators, evidence, incident processes, and improvement responsibilities integrated?</w:t>
            </w:r>
          </w:p>
        </w:tc>
        <w:tc>
          <w:tcPr>
            <w:tcW w:type="dxa" w:w="2520"/>
            <w:vAlign w:val="top"/>
          </w:tcPr>
          <w:p>
            <w:r>
              <w:rPr>
                <w:sz w:val="17"/>
              </w:rPr>
              <w:t>3</w:t>
            </w:r>
          </w:p>
        </w:tc>
        <w:tc>
          <w:tcPr>
            <w:tcW w:type="dxa" w:w="2520"/>
            <w:vAlign w:val="top"/>
          </w:tcPr>
          <w:p>
            <w:r>
              <w:rPr>
                <w:sz w:val="17"/>
              </w:rPr>
              <w:t>Quality lead</w:t>
            </w:r>
          </w:p>
        </w:tc>
      </w:tr>
      <w:tr>
        <w:tc>
          <w:tcPr>
            <w:tcW w:type="dxa" w:w="2520"/>
            <w:vAlign w:val="top"/>
            <w:shd w:fill="EFEFEF"/>
          </w:tcPr>
          <w:p>
            <w:r>
              <w:rPr>
                <w:sz w:val="17"/>
              </w:rPr>
              <w:t>Economics and affordability</w:t>
            </w:r>
          </w:p>
        </w:tc>
        <w:tc>
          <w:tcPr>
            <w:tcW w:type="dxa" w:w="2520"/>
            <w:vAlign w:val="top"/>
          </w:tcPr>
          <w:p>
            <w:r>
              <w:rPr>
                <w:sz w:val="17"/>
              </w:rPr>
              <w:t>Are lifecycle costs, resource constraints, benefits, uncertainty, and budget exposure understood?</w:t>
            </w:r>
          </w:p>
        </w:tc>
        <w:tc>
          <w:tcPr>
            <w:tcW w:type="dxa" w:w="2520"/>
            <w:vAlign w:val="top"/>
          </w:tcPr>
          <w:p>
            <w:r>
              <w:rPr>
                <w:sz w:val="17"/>
              </w:rPr>
              <w:t>3</w:t>
            </w:r>
          </w:p>
        </w:tc>
        <w:tc>
          <w:tcPr>
            <w:tcW w:type="dxa" w:w="2520"/>
            <w:vAlign w:val="top"/>
          </w:tcPr>
          <w:p>
            <w:r>
              <w:rPr>
                <w:sz w:val="17"/>
              </w:rPr>
              <w:t>Data steward</w:t>
            </w:r>
          </w:p>
        </w:tc>
      </w:tr>
      <w:tr>
        <w:tc>
          <w:tcPr>
            <w:tcW w:type="dxa" w:w="2520"/>
            <w:vAlign w:val="top"/>
            <w:shd w:fill="EFEFEF"/>
          </w:tcPr>
          <w:p>
            <w:r>
              <w:rPr>
                <w:sz w:val="17"/>
              </w:rPr>
              <w:t>Governance and assurance</w:t>
            </w:r>
          </w:p>
        </w:tc>
        <w:tc>
          <w:tcPr>
            <w:tcW w:type="dxa" w:w="2520"/>
            <w:vAlign w:val="top"/>
          </w:tcPr>
          <w:p>
            <w:r>
              <w:rPr>
                <w:sz w:val="17"/>
              </w:rPr>
              <w:t>Are decision rights, safeguards, independent review, monitoring, and authority to stop defined?</w:t>
            </w:r>
          </w:p>
        </w:tc>
        <w:tc>
          <w:tcPr>
            <w:tcW w:type="dxa" w:w="2520"/>
            <w:vAlign w:val="top"/>
          </w:tcPr>
          <w:p>
            <w:r>
              <w:rPr>
                <w:sz w:val="17"/>
              </w:rPr>
              <w:t>3</w:t>
            </w:r>
          </w:p>
        </w:tc>
        <w:tc>
          <w:tcPr>
            <w:tcW w:type="dxa" w:w="2520"/>
            <w:vAlign w:val="top"/>
          </w:tcPr>
          <w:p>
            <w:r>
              <w:rPr>
                <w:sz w:val="17"/>
              </w:rPr>
              <w:t>Health economist</w:t>
            </w:r>
          </w:p>
        </w:tc>
      </w:tr>
      <w:tr>
        <w:tc>
          <w:tcPr>
            <w:tcW w:type="dxa" w:w="2520"/>
            <w:vAlign w:val="top"/>
            <w:shd w:fill="EFEFEF"/>
          </w:tcPr>
          <w:p>
            <w:r>
              <w:rPr>
                <w:sz w:val="17"/>
              </w:rPr>
              <w:t>Procurement and vendor readiness</w:t>
            </w:r>
          </w:p>
        </w:tc>
        <w:tc>
          <w:tcPr>
            <w:tcW w:type="dxa" w:w="2520"/>
            <w:vAlign w:val="top"/>
          </w:tcPr>
          <w:p>
            <w:r>
              <w:rPr>
                <w:sz w:val="17"/>
              </w:rPr>
              <w:t>Can evidence, audit, updates, data rights, support, pricing, portability, and exit be contracted?</w:t>
            </w:r>
          </w:p>
        </w:tc>
        <w:tc>
          <w:tcPr>
            <w:tcW w:type="dxa" w:w="2520"/>
            <w:vAlign w:val="top"/>
          </w:tcPr>
          <w:p>
            <w:r>
              <w:rPr>
                <w:sz w:val="17"/>
              </w:rPr>
              <w:t>3</w:t>
            </w:r>
          </w:p>
        </w:tc>
        <w:tc>
          <w:tcPr>
            <w:tcW w:type="dxa" w:w="2520"/>
            <w:vAlign w:val="top"/>
          </w:tcPr>
          <w:p>
            <w:r>
              <w:rPr>
                <w:sz w:val="17"/>
              </w:rPr>
              <w:t>Procurement lead</w:t>
            </w:r>
          </w:p>
        </w:tc>
      </w:tr>
      <w:tr>
        <w:tc>
          <w:tcPr>
            <w:tcW w:type="dxa" w:w="2520"/>
            <w:vAlign w:val="top"/>
            <w:shd w:fill="EFEFEF"/>
          </w:tcPr>
          <w:p>
            <w:r>
              <w:rPr>
                <w:sz w:val="17"/>
              </w:rPr>
              <w:t>Circularity and sustainability</w:t>
            </w:r>
          </w:p>
        </w:tc>
        <w:tc>
          <w:tcPr>
            <w:tcW w:type="dxa" w:w="2520"/>
            <w:vAlign w:val="top"/>
          </w:tcPr>
          <w:p>
            <w:r>
              <w:rPr>
                <w:sz w:val="17"/>
              </w:rPr>
              <w:t>Are resource demand, asset life, maintenance, take-back, residual value, and disposition considered where material?</w:t>
            </w:r>
          </w:p>
        </w:tc>
        <w:tc>
          <w:tcPr>
            <w:tcW w:type="dxa" w:w="2520"/>
            <w:vAlign w:val="top"/>
          </w:tcPr>
          <w:p>
            <w:r>
              <w:rPr>
                <w:sz w:val="17"/>
              </w:rPr>
              <w:t>3</w:t>
            </w:r>
          </w:p>
        </w:tc>
        <w:tc>
          <w:tcPr>
            <w:tcW w:type="dxa" w:w="2520"/>
            <w:vAlign w:val="top"/>
          </w:tcPr>
          <w:p>
            <w:r>
              <w:rPr>
                <w:sz w:val="17"/>
              </w:rPr>
              <w:t>Clinical service lead</w:t>
            </w:r>
          </w:p>
        </w:tc>
      </w:tr>
    </w:tbl>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AIHE-A03 | V1.0 | Create a governed copy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AIHE-A03 template and worked example</dc:title>
  <dc:creator/>
  <ns0:lastModifiedBy/>
  <ns2:created xsi:type="dcterms:W3CDTF">2026-08-06T00:00:00Z</ns2:created>
  <ns2:modified xsi:type="dcterms:W3CDTF">2026-08-06T00:00:00Z</ns2:modified>
</ns0:coreProperties>
</file>